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80" w:rsidRDefault="00724B80" w:rsidP="00724B80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21"/>
          <w:szCs w:val="21"/>
          <w:lang w:eastAsia="en-US" w:bidi="ar-SA"/>
        </w:rPr>
      </w:pPr>
      <w:r>
        <w:rPr>
          <w:rFonts w:ascii="Tahoma" w:eastAsiaTheme="minorHAnsi" w:hAnsi="Tahoma" w:cs="Tahoma"/>
          <w:b/>
          <w:bCs/>
          <w:sz w:val="21"/>
          <w:szCs w:val="21"/>
          <w:lang w:eastAsia="en-US" w:bidi="ar-SA"/>
        </w:rPr>
        <w:t>QUESITI IN MATERIA DI ELEZIONI DEI CONSIGLI DEGLI ORDINI</w:t>
      </w:r>
    </w:p>
    <w:p w:rsidR="00724B80" w:rsidRDefault="00724B80" w:rsidP="00724B80">
      <w:pPr>
        <w:spacing w:after="100"/>
        <w:jc w:val="both"/>
        <w:rPr>
          <w:rFonts w:ascii="Tahoma" w:eastAsiaTheme="minorHAnsi" w:hAnsi="Tahoma" w:cs="Tahoma"/>
          <w:sz w:val="22"/>
          <w:szCs w:val="22"/>
          <w:lang w:eastAsia="en-US" w:bidi="ar-SA"/>
        </w:rPr>
      </w:pPr>
    </w:p>
    <w:p w:rsidR="00724B80" w:rsidRPr="00724B80" w:rsidRDefault="00724B80" w:rsidP="00724B80">
      <w:pPr>
        <w:spacing w:after="100"/>
        <w:jc w:val="both"/>
        <w:rPr>
          <w:rFonts w:ascii="Tahoma" w:hAnsi="Tahoma" w:cs="Tahoma"/>
          <w:i/>
          <w:sz w:val="21"/>
          <w:szCs w:val="21"/>
        </w:rPr>
      </w:pPr>
      <w:r w:rsidRPr="00724B80">
        <w:rPr>
          <w:rFonts w:ascii="Tahoma" w:eastAsiaTheme="minorHAnsi" w:hAnsi="Tahoma" w:cs="Tahoma"/>
          <w:i/>
          <w:sz w:val="22"/>
          <w:szCs w:val="22"/>
          <w:lang w:eastAsia="en-US" w:bidi="ar-SA"/>
        </w:rPr>
        <w:t>12 ottobre 2012</w:t>
      </w:r>
    </w:p>
    <w:p w:rsidR="00724B80" w:rsidRDefault="00724B80" w:rsidP="00AD365A">
      <w:pPr>
        <w:spacing w:after="100"/>
        <w:jc w:val="both"/>
        <w:rPr>
          <w:rFonts w:ascii="Tahoma" w:hAnsi="Tahoma" w:cs="Tahoma"/>
          <w:sz w:val="21"/>
          <w:szCs w:val="21"/>
        </w:rPr>
      </w:pPr>
    </w:p>
    <w:p w:rsidR="00724B80" w:rsidRPr="00724B80" w:rsidRDefault="00724B80" w:rsidP="00724B80">
      <w:pPr>
        <w:pStyle w:val="Paragrafoelenco"/>
        <w:numPr>
          <w:ilvl w:val="0"/>
          <w:numId w:val="3"/>
        </w:numPr>
        <w:spacing w:after="100"/>
        <w:jc w:val="both"/>
        <w:rPr>
          <w:rFonts w:ascii="Tahoma" w:hAnsi="Tahoma" w:cs="Tahoma"/>
          <w:b/>
          <w:i/>
          <w:color w:val="7F7F7F"/>
          <w:sz w:val="21"/>
          <w:szCs w:val="21"/>
        </w:rPr>
      </w:pPr>
      <w:r w:rsidRPr="00724B80">
        <w:rPr>
          <w:rFonts w:ascii="Tahoma" w:hAnsi="Tahoma" w:cs="Tahoma"/>
          <w:b/>
          <w:i/>
          <w:sz w:val="21"/>
          <w:szCs w:val="21"/>
        </w:rPr>
        <w:t xml:space="preserve">Come deve essere inteso il </w:t>
      </w:r>
      <w:r w:rsidR="00AD365A" w:rsidRPr="00724B80">
        <w:rPr>
          <w:rFonts w:ascii="Tahoma" w:hAnsi="Tahoma" w:cs="Tahoma"/>
          <w:b/>
          <w:i/>
          <w:sz w:val="21"/>
          <w:szCs w:val="21"/>
        </w:rPr>
        <w:t>concetto di “concomitanza” indicato nella risposta n. 24 dei “Quesiti in materia di elezioni dei Consigli degli Ordini territoriali” pubblicati, il 18 settembre scorso, nella pagina dedicata del sito</w:t>
      </w:r>
      <w:r w:rsidR="00AD365A" w:rsidRPr="00724B80">
        <w:rPr>
          <w:rFonts w:ascii="Tahoma" w:hAnsi="Tahoma" w:cs="Tahoma"/>
          <w:b/>
          <w:i/>
          <w:color w:val="7F7F7F"/>
          <w:sz w:val="21"/>
          <w:szCs w:val="21"/>
        </w:rPr>
        <w:t xml:space="preserve"> </w:t>
      </w:r>
      <w:hyperlink r:id="rId8" w:history="1">
        <w:r w:rsidR="00AD365A" w:rsidRPr="00724B80">
          <w:rPr>
            <w:rStyle w:val="Collegamentoipertestuale"/>
            <w:rFonts w:ascii="Tahoma" w:hAnsi="Tahoma" w:cs="Tahoma"/>
            <w:b/>
            <w:i/>
            <w:sz w:val="21"/>
            <w:szCs w:val="21"/>
          </w:rPr>
          <w:t>www.commercialisti.it</w:t>
        </w:r>
      </w:hyperlink>
      <w:r w:rsidRPr="00724B80">
        <w:rPr>
          <w:rFonts w:ascii="Tahoma" w:hAnsi="Tahoma" w:cs="Tahoma"/>
          <w:b/>
          <w:i/>
          <w:sz w:val="21"/>
          <w:szCs w:val="21"/>
        </w:rPr>
        <w:t>?</w:t>
      </w:r>
    </w:p>
    <w:p w:rsidR="00AD365A" w:rsidRDefault="00AD365A" w:rsidP="00AD365A">
      <w:pPr>
        <w:autoSpaceDE w:val="0"/>
        <w:autoSpaceDN w:val="0"/>
        <w:adjustRightInd w:val="0"/>
        <w:spacing w:after="100"/>
        <w:jc w:val="both"/>
        <w:rPr>
          <w:rFonts w:ascii="Tahoma" w:hAnsi="Tahoma" w:cs="Tahoma"/>
          <w:sz w:val="21"/>
          <w:szCs w:val="21"/>
          <w:lang w:bidi="ar-SA"/>
        </w:rPr>
      </w:pPr>
      <w:r>
        <w:rPr>
          <w:rFonts w:ascii="Tahoma" w:hAnsi="Tahoma" w:cs="Tahoma"/>
          <w:sz w:val="21"/>
          <w:szCs w:val="21"/>
          <w:lang w:bidi="ar-SA"/>
        </w:rPr>
        <w:t>Ribadendo che l’assemblea elettorale si svolge con l’osservanza di regole diverse da quelle con cui si svolge quella per l’approvazione del bilancio e considerata la necessità di garantire a tutti gli iscritti il diritto di partecipazione sia all’assemblea elettorale sia a quella per l’approvazione del bilancio, si ritiene che quest’ultima assemblea non possa essere convocata nei giorni 15 e 16 novembre 2012.</w:t>
      </w:r>
    </w:p>
    <w:p w:rsidR="00465C50" w:rsidRDefault="00465C50"/>
    <w:p w:rsidR="00AD365A" w:rsidRDefault="00AD365A">
      <w:bookmarkStart w:id="0" w:name="_GoBack"/>
      <w:bookmarkEnd w:id="0"/>
    </w:p>
    <w:p w:rsidR="00724B80" w:rsidRPr="00724B80" w:rsidRDefault="00724B80" w:rsidP="00724B80">
      <w:pPr>
        <w:pStyle w:val="Paragrafoelenco"/>
        <w:numPr>
          <w:ilvl w:val="0"/>
          <w:numId w:val="3"/>
        </w:numPr>
        <w:spacing w:after="100"/>
        <w:jc w:val="both"/>
        <w:rPr>
          <w:rFonts w:ascii="Tahoma" w:hAnsi="Tahoma" w:cs="Tahoma"/>
          <w:b/>
          <w:i/>
          <w:sz w:val="21"/>
          <w:szCs w:val="21"/>
        </w:rPr>
      </w:pPr>
      <w:r w:rsidRPr="00724B80">
        <w:rPr>
          <w:rFonts w:ascii="Tahoma" w:hAnsi="Tahoma" w:cs="Tahoma"/>
          <w:b/>
          <w:i/>
          <w:sz w:val="21"/>
          <w:szCs w:val="21"/>
        </w:rPr>
        <w:t xml:space="preserve">I </w:t>
      </w:r>
      <w:r w:rsidR="00AD365A" w:rsidRPr="00724B80">
        <w:rPr>
          <w:rFonts w:ascii="Tahoma" w:hAnsi="Tahoma" w:cs="Tahoma"/>
          <w:b/>
          <w:i/>
          <w:sz w:val="21"/>
          <w:szCs w:val="21"/>
        </w:rPr>
        <w:t xml:space="preserve">candidati alle elezioni del Consiglio dell’Ordine </w:t>
      </w:r>
      <w:r w:rsidRPr="00724B80">
        <w:rPr>
          <w:rFonts w:ascii="Tahoma" w:hAnsi="Tahoma" w:cs="Tahoma"/>
          <w:b/>
          <w:i/>
          <w:sz w:val="21"/>
          <w:szCs w:val="21"/>
        </w:rPr>
        <w:t xml:space="preserve">possono </w:t>
      </w:r>
      <w:r w:rsidR="00AD365A" w:rsidRPr="00724B80">
        <w:rPr>
          <w:rFonts w:ascii="Tahoma" w:hAnsi="Tahoma" w:cs="Tahoma"/>
          <w:b/>
          <w:i/>
          <w:sz w:val="21"/>
          <w:szCs w:val="21"/>
        </w:rPr>
        <w:t>sottoscrivere le liste per l’elezione del Collegio dei Revisori</w:t>
      </w:r>
      <w:r w:rsidRPr="00724B80">
        <w:rPr>
          <w:rFonts w:ascii="Tahoma" w:hAnsi="Tahoma" w:cs="Tahoma"/>
          <w:b/>
          <w:i/>
          <w:sz w:val="21"/>
          <w:szCs w:val="21"/>
        </w:rPr>
        <w:t xml:space="preserve">? Ed </w:t>
      </w:r>
      <w:r w:rsidR="00AD365A" w:rsidRPr="00724B80">
        <w:rPr>
          <w:rFonts w:ascii="Tahoma" w:hAnsi="Tahoma" w:cs="Tahoma"/>
          <w:b/>
          <w:i/>
          <w:sz w:val="21"/>
          <w:szCs w:val="21"/>
        </w:rPr>
        <w:t xml:space="preserve">i candidati alle elezioni del Collegio dei Revisori </w:t>
      </w:r>
      <w:r w:rsidRPr="00724B80">
        <w:rPr>
          <w:rFonts w:ascii="Tahoma" w:hAnsi="Tahoma" w:cs="Tahoma"/>
          <w:b/>
          <w:i/>
          <w:sz w:val="21"/>
          <w:szCs w:val="21"/>
        </w:rPr>
        <w:t xml:space="preserve">possono </w:t>
      </w:r>
      <w:r w:rsidR="00AD365A" w:rsidRPr="00724B80">
        <w:rPr>
          <w:rFonts w:ascii="Tahoma" w:hAnsi="Tahoma" w:cs="Tahoma"/>
          <w:b/>
          <w:i/>
          <w:sz w:val="21"/>
          <w:szCs w:val="21"/>
        </w:rPr>
        <w:t>sottoscrivere le liste per l’elezione del Consiglio dell’Ordine</w:t>
      </w:r>
      <w:r w:rsidRPr="00724B80">
        <w:rPr>
          <w:rFonts w:ascii="Tahoma" w:hAnsi="Tahoma" w:cs="Tahoma"/>
          <w:b/>
          <w:i/>
          <w:sz w:val="21"/>
          <w:szCs w:val="21"/>
        </w:rPr>
        <w:t>?</w:t>
      </w:r>
    </w:p>
    <w:p w:rsidR="00AD365A" w:rsidRDefault="00AD365A" w:rsidP="00AD365A">
      <w:pPr>
        <w:spacing w:after="10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L’art. 8, comma 1 del regolamento elettorale (DM 7 agosto 2012) e l’art. 19, comma 2 bis,  prevedono  che le sottoscrizioni delle liste per l’elezione del Consiglio dell’Ordine e del Collegio dei Revisori/Revisore unico debbono essere effettuate da soggetti “non candidati”.</w:t>
      </w:r>
    </w:p>
    <w:p w:rsidR="00AD365A" w:rsidRDefault="00AD365A" w:rsidP="00AD365A">
      <w:pPr>
        <w:spacing w:after="10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Deve ritenersi che la sottoscrizione debba essere preclusa solo ai professionisti candidati per l’elezione dello stesso organo dell’Ordine territoriale. Conseguentemente si devono ritenere ammissibili le sottoscrizioni apposte dai </w:t>
      </w:r>
    </w:p>
    <w:p w:rsidR="00AD365A" w:rsidRDefault="00AD365A" w:rsidP="00AD365A">
      <w:pPr>
        <w:pStyle w:val="Paragrafoelenco"/>
        <w:numPr>
          <w:ilvl w:val="0"/>
          <w:numId w:val="1"/>
        </w:numPr>
        <w:spacing w:after="10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candidati alle </w:t>
      </w:r>
      <w:r w:rsidRPr="006017BE">
        <w:rPr>
          <w:rFonts w:ascii="Tahoma" w:hAnsi="Tahoma" w:cs="Tahoma"/>
          <w:sz w:val="21"/>
          <w:szCs w:val="21"/>
        </w:rPr>
        <w:t xml:space="preserve">elezioni del Consiglio dell’Ordine </w:t>
      </w:r>
      <w:r>
        <w:rPr>
          <w:rFonts w:ascii="Tahoma" w:hAnsi="Tahoma" w:cs="Tahoma"/>
          <w:sz w:val="21"/>
          <w:szCs w:val="21"/>
        </w:rPr>
        <w:t xml:space="preserve">sulle liste </w:t>
      </w:r>
      <w:r w:rsidRPr="006017BE">
        <w:rPr>
          <w:rFonts w:ascii="Tahoma" w:hAnsi="Tahoma" w:cs="Tahoma"/>
          <w:sz w:val="21"/>
          <w:szCs w:val="21"/>
        </w:rPr>
        <w:t>per l’ele</w:t>
      </w:r>
      <w:r>
        <w:rPr>
          <w:rFonts w:ascii="Tahoma" w:hAnsi="Tahoma" w:cs="Tahoma"/>
          <w:sz w:val="21"/>
          <w:szCs w:val="21"/>
        </w:rPr>
        <w:t>zione del Collegio dei Revisori,</w:t>
      </w:r>
    </w:p>
    <w:p w:rsidR="00AD365A" w:rsidRDefault="00AD365A" w:rsidP="00AD365A">
      <w:pPr>
        <w:pStyle w:val="Paragrafoelenco"/>
        <w:numPr>
          <w:ilvl w:val="0"/>
          <w:numId w:val="1"/>
        </w:numPr>
        <w:spacing w:after="10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candidati alle elezioni del Collegio dei Revisori sulle liste per l’elezione del Consiglio dell’Ordine.</w:t>
      </w:r>
    </w:p>
    <w:p w:rsidR="00AD365A" w:rsidRDefault="00AD365A"/>
    <w:p w:rsidR="00225EA9" w:rsidRDefault="00225EA9"/>
    <w:p w:rsidR="00225EA9" w:rsidRPr="001339C6" w:rsidRDefault="00225EA9" w:rsidP="00225EA9">
      <w:pPr>
        <w:pStyle w:val="Paragrafoelenco"/>
        <w:numPr>
          <w:ilvl w:val="0"/>
          <w:numId w:val="3"/>
        </w:numPr>
        <w:spacing w:after="100"/>
        <w:jc w:val="both"/>
        <w:rPr>
          <w:rFonts w:ascii="Tahoma" w:hAnsi="Tahoma" w:cs="Tahoma"/>
          <w:b/>
          <w:i/>
          <w:sz w:val="21"/>
          <w:szCs w:val="21"/>
        </w:rPr>
      </w:pPr>
      <w:r w:rsidRPr="001339C6">
        <w:rPr>
          <w:rFonts w:ascii="Tahoma" w:hAnsi="Tahoma" w:cs="Tahoma"/>
          <w:b/>
          <w:i/>
          <w:sz w:val="21"/>
          <w:szCs w:val="21"/>
        </w:rPr>
        <w:t>Il dottore commercialista/ragioniere commercialista candidato nella lista A può sottoscrivere la lista antagonista B?</w:t>
      </w:r>
    </w:p>
    <w:p w:rsidR="00225EA9" w:rsidRDefault="00225EA9" w:rsidP="00225EA9">
      <w:pPr>
        <w:spacing w:after="10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L’art. 8 del regolamento elettorale (DM 7 agosto 2012) prevede espressamente che le sottoscrizioni delle liste debbono essere effettuate da soggetti “non candidati”.</w:t>
      </w:r>
    </w:p>
    <w:p w:rsidR="00225EA9" w:rsidRDefault="00225EA9" w:rsidP="00225EA9">
      <w:pPr>
        <w:spacing w:after="10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Va esclusa, quindi, non solo la validità della sottoscrizione apposta dal candidato della lista A sulla lista A, ma anche quella apposta dal candidato della lista A sulla lista B. La norma ha l’obiettivo di individuare dei sostenitori delle liste diversi dai candidati. Conseguentemente nel secondo caso sarebbe assai difficile ritenere che il candidato della lista A possa essere considerato un sostenitore della lista avversaria.</w:t>
      </w:r>
    </w:p>
    <w:p w:rsidR="00225EA9" w:rsidRDefault="00225EA9"/>
    <w:p w:rsidR="00AD365A" w:rsidRDefault="00AD365A"/>
    <w:p w:rsidR="00724B80" w:rsidRDefault="00724B80" w:rsidP="00724B80">
      <w:pPr>
        <w:pStyle w:val="Paragrafoelenco"/>
        <w:numPr>
          <w:ilvl w:val="0"/>
          <w:numId w:val="3"/>
        </w:numPr>
        <w:spacing w:after="100"/>
        <w:jc w:val="both"/>
        <w:rPr>
          <w:rFonts w:ascii="Tahoma" w:hAnsi="Tahoma" w:cs="Tahoma"/>
          <w:b/>
          <w:i/>
          <w:sz w:val="21"/>
          <w:szCs w:val="21"/>
        </w:rPr>
      </w:pPr>
      <w:r>
        <w:rPr>
          <w:rFonts w:ascii="Tahoma" w:hAnsi="Tahoma" w:cs="Tahoma"/>
          <w:b/>
          <w:i/>
          <w:sz w:val="21"/>
          <w:szCs w:val="21"/>
        </w:rPr>
        <w:t>Possono essere ammesse le liste dei revisori contabili che presentano sia il contrassegno che il motto?</w:t>
      </w:r>
    </w:p>
    <w:p w:rsidR="00AD365A" w:rsidRDefault="00AD365A" w:rsidP="00AD365A">
      <w:pPr>
        <w:spacing w:after="10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Il D.Lgs. 28 giugno 2005, n. 139 prevede espressamente agli articoli 21 e 64, comma 12</w:t>
      </w:r>
      <w:r w:rsidR="00724B80">
        <w:rPr>
          <w:rFonts w:ascii="Tahoma" w:hAnsi="Tahoma" w:cs="Tahoma"/>
          <w:sz w:val="21"/>
          <w:szCs w:val="21"/>
        </w:rPr>
        <w:t>,</w:t>
      </w:r>
      <w:r>
        <w:rPr>
          <w:rFonts w:ascii="Tahoma" w:hAnsi="Tahoma" w:cs="Tahoma"/>
          <w:sz w:val="21"/>
          <w:szCs w:val="21"/>
        </w:rPr>
        <w:t xml:space="preserve"> che le liste per l’elezione del Consiglio dell’ordine devono riportare l’indicazione del contrassegno o del motto. In linea con tali disposizioni il regolamento elettorale all’art. 6 comma 1, da un lato, ha ribadito che le liste per l’elezione del Consiglio dell’Ordine devono presentare alternativamente il motto o il contrassegno; dall’altro, ha precisato che possono essere ammesse anche le liste che presentano sia il contrassegno che il motto.</w:t>
      </w:r>
    </w:p>
    <w:p w:rsidR="00AD365A" w:rsidRDefault="00AD365A" w:rsidP="00AD365A">
      <w:pPr>
        <w:spacing w:after="10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Per quanto riguarda le elezioni del Collegio dei revisori o del revisore unico il D.Lgs. 139/2005 nulla dispone in relazione alla presentazione delle liste e l’art. 19 del regolamento elettorale si limita a prevedere la presenza alternativa del motto o del contrassegno. Tuttavia, deve ritenersi che, ancorché non sia previsto anche </w:t>
      </w:r>
      <w:r w:rsidR="001339C6">
        <w:rPr>
          <w:rFonts w:ascii="Tahoma" w:hAnsi="Tahoma" w:cs="Tahoma"/>
          <w:sz w:val="21"/>
          <w:szCs w:val="21"/>
        </w:rPr>
        <w:t xml:space="preserve">in </w:t>
      </w:r>
      <w:r>
        <w:rPr>
          <w:rFonts w:ascii="Tahoma" w:hAnsi="Tahoma" w:cs="Tahoma"/>
          <w:sz w:val="21"/>
          <w:szCs w:val="21"/>
        </w:rPr>
        <w:t>tale articolo la precisazione contenuta nell’art. 6, comma 1 del regolamento elettorale, debbano essere ammesse sia le liste che presentano alternativamente il motto o il contrassegno, sia le liste che presentano sia il motto che il contrassegno.</w:t>
      </w:r>
    </w:p>
    <w:p w:rsidR="00AD365A" w:rsidRDefault="00AD365A"/>
    <w:p w:rsidR="00AD365A" w:rsidRDefault="00AD365A"/>
    <w:p w:rsidR="009B01FC" w:rsidRPr="009B01FC" w:rsidRDefault="001339C6" w:rsidP="001339C6">
      <w:pPr>
        <w:pStyle w:val="Paragrafoelenco"/>
        <w:numPr>
          <w:ilvl w:val="0"/>
          <w:numId w:val="3"/>
        </w:numPr>
        <w:spacing w:after="100"/>
        <w:jc w:val="both"/>
        <w:rPr>
          <w:rFonts w:ascii="Tahoma" w:hAnsi="Tahoma" w:cs="Tahoma"/>
          <w:b/>
          <w:i/>
          <w:sz w:val="21"/>
          <w:szCs w:val="21"/>
        </w:rPr>
      </w:pPr>
      <w:r w:rsidRPr="009B01FC">
        <w:rPr>
          <w:rFonts w:ascii="Tahoma" w:hAnsi="Tahoma" w:cs="Tahoma"/>
          <w:b/>
          <w:i/>
          <w:sz w:val="21"/>
          <w:szCs w:val="21"/>
        </w:rPr>
        <w:t xml:space="preserve">È possibile </w:t>
      </w:r>
      <w:r w:rsidR="00AD365A" w:rsidRPr="009B01FC">
        <w:rPr>
          <w:rFonts w:ascii="Tahoma" w:hAnsi="Tahoma" w:cs="Tahoma"/>
          <w:b/>
          <w:i/>
          <w:sz w:val="21"/>
          <w:szCs w:val="21"/>
        </w:rPr>
        <w:t>che differenti liste per l’elezione dei dottori commercialisti, dei ragionieri commercialisti e del collegio dei revisori presentino lo stesso motto</w:t>
      </w:r>
      <w:r w:rsidR="009B01FC" w:rsidRPr="009B01FC">
        <w:rPr>
          <w:rFonts w:ascii="Tahoma" w:hAnsi="Tahoma" w:cs="Tahoma"/>
          <w:b/>
          <w:i/>
          <w:sz w:val="21"/>
          <w:szCs w:val="21"/>
        </w:rPr>
        <w:t>?</w:t>
      </w:r>
    </w:p>
    <w:p w:rsidR="00AD365A" w:rsidRDefault="00AD365A" w:rsidP="00AD365A">
      <w:pPr>
        <w:spacing w:after="10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Le norme del D.Lgs. 28 giugno 2005, n. 139 prevedono che le liste per l’elezione dei dottori commercialisti e dei ragionieri commercialisti dovranno avere “oltre al contrassegno </w:t>
      </w:r>
      <w:r w:rsidR="009B01FC">
        <w:rPr>
          <w:rFonts w:ascii="Tahoma" w:hAnsi="Tahoma" w:cs="Tahoma"/>
          <w:sz w:val="21"/>
          <w:szCs w:val="21"/>
        </w:rPr>
        <w:t>o</w:t>
      </w:r>
      <w:r>
        <w:rPr>
          <w:rFonts w:ascii="Tahoma" w:hAnsi="Tahoma" w:cs="Tahoma"/>
          <w:sz w:val="21"/>
          <w:szCs w:val="21"/>
        </w:rPr>
        <w:t xml:space="preserve"> al motto”, rispettivamente, l’indicazione del candidato Presidente e del candidato Vicepresidente. La norma, pertanto non sembra porre alcuna limitazione in merito all’uso dello stesso motto o contrassegno da parte delle due liste, in quanto è l’indicazione del candidato Presidente e del candidato Vicepresidente a garantire la riconoscibilità della lista.</w:t>
      </w:r>
    </w:p>
    <w:p w:rsidR="00AD365A" w:rsidRDefault="00AD365A" w:rsidP="00AD365A">
      <w:pPr>
        <w:spacing w:after="10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Analoghe considerazioni possono essere svolte in relazione alla lista per l’elezione del collegio dei revisori.</w:t>
      </w:r>
    </w:p>
    <w:p w:rsidR="00AD365A" w:rsidRDefault="00AD365A"/>
    <w:p w:rsidR="00AD365A" w:rsidRDefault="00AD365A"/>
    <w:p w:rsidR="009B01FC" w:rsidRPr="009B01FC" w:rsidRDefault="009B01FC" w:rsidP="009B01FC">
      <w:pPr>
        <w:pStyle w:val="Paragrafoelenco"/>
        <w:numPr>
          <w:ilvl w:val="0"/>
          <w:numId w:val="3"/>
        </w:numPr>
        <w:spacing w:after="100"/>
        <w:jc w:val="both"/>
        <w:rPr>
          <w:rFonts w:ascii="Tahoma" w:hAnsi="Tahoma" w:cs="Tahoma"/>
          <w:b/>
          <w:i/>
          <w:sz w:val="21"/>
          <w:szCs w:val="21"/>
        </w:rPr>
      </w:pPr>
      <w:r w:rsidRPr="009B01FC">
        <w:rPr>
          <w:rFonts w:ascii="Tahoma" w:hAnsi="Tahoma" w:cs="Tahoma"/>
          <w:b/>
          <w:i/>
          <w:sz w:val="21"/>
          <w:szCs w:val="21"/>
        </w:rPr>
        <w:t>C</w:t>
      </w:r>
      <w:r w:rsidR="00AD365A" w:rsidRPr="009B01FC">
        <w:rPr>
          <w:rFonts w:ascii="Tahoma" w:hAnsi="Tahoma" w:cs="Tahoma"/>
          <w:b/>
          <w:i/>
          <w:sz w:val="21"/>
          <w:szCs w:val="21"/>
        </w:rPr>
        <w:t>ome de</w:t>
      </w:r>
      <w:r w:rsidRPr="009B01FC">
        <w:rPr>
          <w:rFonts w:ascii="Tahoma" w:hAnsi="Tahoma" w:cs="Tahoma"/>
          <w:b/>
          <w:i/>
          <w:sz w:val="21"/>
          <w:szCs w:val="21"/>
        </w:rPr>
        <w:t xml:space="preserve">vono </w:t>
      </w:r>
      <w:r w:rsidR="00AD365A" w:rsidRPr="009B01FC">
        <w:rPr>
          <w:rFonts w:ascii="Tahoma" w:hAnsi="Tahoma" w:cs="Tahoma"/>
          <w:b/>
          <w:i/>
          <w:sz w:val="21"/>
          <w:szCs w:val="21"/>
        </w:rPr>
        <w:t>essere composte le liste per l’elezione dei ragionieri commercialisti</w:t>
      </w:r>
      <w:r w:rsidRPr="009B01FC">
        <w:rPr>
          <w:rFonts w:ascii="Tahoma" w:hAnsi="Tahoma" w:cs="Tahoma"/>
          <w:b/>
          <w:i/>
          <w:sz w:val="21"/>
          <w:szCs w:val="21"/>
        </w:rPr>
        <w:t>?</w:t>
      </w:r>
    </w:p>
    <w:p w:rsidR="00AD365A" w:rsidRDefault="00AD365A" w:rsidP="00AD365A">
      <w:pPr>
        <w:spacing w:after="10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Ai sensi dell’art. 64, comma 11 le liste per “le </w:t>
      </w:r>
      <w:r w:rsidRPr="00D60549">
        <w:rPr>
          <w:rFonts w:ascii="Tahoma" w:hAnsi="Tahoma" w:cs="Tahoma"/>
          <w:sz w:val="21"/>
          <w:szCs w:val="21"/>
        </w:rPr>
        <w:t>liste delle candidature per l'elezione dei consiglieri ragionieri commercialisti avranno un numero</w:t>
      </w:r>
      <w:r>
        <w:rPr>
          <w:rFonts w:ascii="Tahoma" w:hAnsi="Tahoma" w:cs="Tahoma"/>
          <w:sz w:val="21"/>
          <w:szCs w:val="21"/>
        </w:rPr>
        <w:t xml:space="preserve"> </w:t>
      </w:r>
      <w:r w:rsidRPr="00D60549">
        <w:rPr>
          <w:rFonts w:ascii="Tahoma" w:hAnsi="Tahoma" w:cs="Tahoma"/>
          <w:sz w:val="21"/>
          <w:szCs w:val="21"/>
        </w:rPr>
        <w:t>di candidati pari a quello dei membri riservati ai ragionieri commercialisti, aumentato di cinque</w:t>
      </w:r>
      <w:r>
        <w:rPr>
          <w:rFonts w:ascii="Tahoma" w:hAnsi="Tahoma" w:cs="Tahoma"/>
          <w:sz w:val="21"/>
          <w:szCs w:val="21"/>
        </w:rPr>
        <w:t xml:space="preserve">”. </w:t>
      </w:r>
    </w:p>
    <w:p w:rsidR="00AD365A" w:rsidRDefault="00AD365A" w:rsidP="00AD365A">
      <w:pPr>
        <w:spacing w:after="10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 titolo esemplificativo si considerino i seguenti casi:</w:t>
      </w:r>
    </w:p>
    <w:p w:rsidR="00AD365A" w:rsidRDefault="00AD365A" w:rsidP="00AD365A">
      <w:pPr>
        <w:pStyle w:val="Paragrafoelenco"/>
        <w:numPr>
          <w:ilvl w:val="0"/>
          <w:numId w:val="2"/>
        </w:numPr>
        <w:spacing w:after="100"/>
        <w:jc w:val="both"/>
        <w:rPr>
          <w:rFonts w:ascii="Tahoma" w:hAnsi="Tahoma" w:cs="Tahoma"/>
          <w:sz w:val="21"/>
          <w:szCs w:val="21"/>
        </w:rPr>
      </w:pPr>
      <w:r w:rsidRPr="00D60549">
        <w:rPr>
          <w:rFonts w:ascii="Tahoma" w:hAnsi="Tahoma" w:cs="Tahoma"/>
          <w:sz w:val="21"/>
          <w:szCs w:val="21"/>
        </w:rPr>
        <w:t>caso 1) - n. seggi riservati ai ragionieri commercialisti 5</w:t>
      </w:r>
      <w:r>
        <w:rPr>
          <w:rFonts w:ascii="Tahoma" w:hAnsi="Tahoma" w:cs="Tahoma"/>
          <w:sz w:val="21"/>
          <w:szCs w:val="21"/>
        </w:rPr>
        <w:t xml:space="preserve">. </w:t>
      </w:r>
    </w:p>
    <w:p w:rsidR="00AD365A" w:rsidRDefault="00AD365A" w:rsidP="00AD365A">
      <w:pPr>
        <w:pStyle w:val="Paragrafoelenco"/>
        <w:spacing w:after="10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La lista sarà composta dal candidato vicepresidente + 9 candidati</w:t>
      </w:r>
    </w:p>
    <w:p w:rsidR="00AD365A" w:rsidRDefault="00AD365A" w:rsidP="00AD365A">
      <w:pPr>
        <w:pStyle w:val="Paragrafoelenco"/>
        <w:numPr>
          <w:ilvl w:val="0"/>
          <w:numId w:val="2"/>
        </w:numPr>
        <w:spacing w:after="10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caso 2) -  n. seggi </w:t>
      </w:r>
      <w:r w:rsidRPr="00D60549">
        <w:rPr>
          <w:rFonts w:ascii="Tahoma" w:hAnsi="Tahoma" w:cs="Tahoma"/>
          <w:sz w:val="21"/>
          <w:szCs w:val="21"/>
        </w:rPr>
        <w:t xml:space="preserve">riservati ai ragionieri commercialisti </w:t>
      </w:r>
      <w:r>
        <w:rPr>
          <w:rFonts w:ascii="Tahoma" w:hAnsi="Tahoma" w:cs="Tahoma"/>
          <w:sz w:val="21"/>
          <w:szCs w:val="21"/>
        </w:rPr>
        <w:t xml:space="preserve">3. </w:t>
      </w:r>
    </w:p>
    <w:p w:rsidR="00AD365A" w:rsidRDefault="00AD365A" w:rsidP="00AD365A">
      <w:pPr>
        <w:pStyle w:val="Paragrafoelenco"/>
        <w:spacing w:after="10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La lista sarà composta dal candidato vicepresidente + 7 candidati</w:t>
      </w:r>
    </w:p>
    <w:p w:rsidR="00AD365A" w:rsidRDefault="00AD365A" w:rsidP="00AD365A">
      <w:pPr>
        <w:pStyle w:val="Paragrafoelenco"/>
        <w:numPr>
          <w:ilvl w:val="0"/>
          <w:numId w:val="2"/>
        </w:numPr>
        <w:spacing w:after="10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caso 3) -  n. seggi </w:t>
      </w:r>
      <w:r w:rsidRPr="00D60549">
        <w:rPr>
          <w:rFonts w:ascii="Tahoma" w:hAnsi="Tahoma" w:cs="Tahoma"/>
          <w:sz w:val="21"/>
          <w:szCs w:val="21"/>
        </w:rPr>
        <w:t xml:space="preserve">riservati ai ragionieri commercialisti </w:t>
      </w:r>
      <w:r>
        <w:rPr>
          <w:rFonts w:ascii="Tahoma" w:hAnsi="Tahoma" w:cs="Tahoma"/>
          <w:sz w:val="21"/>
          <w:szCs w:val="21"/>
        </w:rPr>
        <w:t xml:space="preserve">1. </w:t>
      </w:r>
    </w:p>
    <w:p w:rsidR="00AD365A" w:rsidRPr="00D60549" w:rsidRDefault="00AD365A" w:rsidP="00AD365A">
      <w:pPr>
        <w:pStyle w:val="Paragrafoelenco"/>
        <w:spacing w:after="10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La lista sarà composta dal candidato vicepresidente + 5 candidati</w:t>
      </w:r>
    </w:p>
    <w:p w:rsidR="00AD365A" w:rsidRDefault="00AD365A"/>
    <w:sectPr w:rsidR="00AD365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C6" w:rsidRDefault="001339C6" w:rsidP="00724B80">
      <w:r>
        <w:separator/>
      </w:r>
    </w:p>
  </w:endnote>
  <w:endnote w:type="continuationSeparator" w:id="0">
    <w:p w:rsidR="001339C6" w:rsidRDefault="001339C6" w:rsidP="0072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236052"/>
      <w:docPartObj>
        <w:docPartGallery w:val="Page Numbers (Bottom of Page)"/>
        <w:docPartUnique/>
      </w:docPartObj>
    </w:sdtPr>
    <w:sdtEndPr/>
    <w:sdtContent>
      <w:p w:rsidR="009B01FC" w:rsidRDefault="009B01F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EA9">
          <w:rPr>
            <w:noProof/>
          </w:rPr>
          <w:t>2</w:t>
        </w:r>
        <w:r>
          <w:fldChar w:fldCharType="end"/>
        </w:r>
      </w:p>
    </w:sdtContent>
  </w:sdt>
  <w:p w:rsidR="009B01FC" w:rsidRDefault="009B01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C6" w:rsidRDefault="001339C6" w:rsidP="00724B80">
      <w:r>
        <w:separator/>
      </w:r>
    </w:p>
  </w:footnote>
  <w:footnote w:type="continuationSeparator" w:id="0">
    <w:p w:rsidR="001339C6" w:rsidRDefault="001339C6" w:rsidP="0072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C6" w:rsidRPr="00CC3FB3" w:rsidRDefault="001339C6" w:rsidP="00724B80">
    <w:pPr>
      <w:pStyle w:val="Intestazione"/>
      <w:tabs>
        <w:tab w:val="right" w:pos="-2410"/>
        <w:tab w:val="left" w:pos="9638"/>
      </w:tabs>
      <w:spacing w:after="60"/>
      <w:ind w:right="-1"/>
      <w:jc w:val="center"/>
      <w:rPr>
        <w:color w:val="333399"/>
        <w:sz w:val="18"/>
      </w:rPr>
    </w:pPr>
    <w:r w:rsidRPr="00CC3FB3">
      <w:rPr>
        <w:rFonts w:ascii="Arial" w:hAnsi="Arial" w:cs="Arial"/>
        <w:b/>
        <w:bCs/>
        <w:color w:val="333399"/>
        <w:spacing w:val="20"/>
        <w:sz w:val="18"/>
      </w:rPr>
      <w:t>CONSIGLIO NAZIONALE DEI DOTTORI COMMERCIALISTI E DEGLI ESPERTI CONTABILI</w:t>
    </w:r>
  </w:p>
  <w:p w:rsidR="001339C6" w:rsidRDefault="001339C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EA2"/>
    <w:multiLevelType w:val="hybridMultilevel"/>
    <w:tmpl w:val="062E5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C44D7"/>
    <w:multiLevelType w:val="hybridMultilevel"/>
    <w:tmpl w:val="A6DA953C"/>
    <w:lvl w:ilvl="0" w:tplc="7D2C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2138E"/>
    <w:multiLevelType w:val="hybridMultilevel"/>
    <w:tmpl w:val="C5666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5A"/>
    <w:rsid w:val="0008154F"/>
    <w:rsid w:val="000B6803"/>
    <w:rsid w:val="001339C6"/>
    <w:rsid w:val="00150E39"/>
    <w:rsid w:val="00182C5F"/>
    <w:rsid w:val="00225EA9"/>
    <w:rsid w:val="00465C50"/>
    <w:rsid w:val="004936C7"/>
    <w:rsid w:val="004E5B8B"/>
    <w:rsid w:val="00503A41"/>
    <w:rsid w:val="00711B05"/>
    <w:rsid w:val="00724B80"/>
    <w:rsid w:val="0079389B"/>
    <w:rsid w:val="00874058"/>
    <w:rsid w:val="00907DFF"/>
    <w:rsid w:val="009568D7"/>
    <w:rsid w:val="00970E7D"/>
    <w:rsid w:val="009B01FC"/>
    <w:rsid w:val="00AD365A"/>
    <w:rsid w:val="00BC7C2D"/>
    <w:rsid w:val="00C23EC7"/>
    <w:rsid w:val="00CF217D"/>
    <w:rsid w:val="00F138D0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65A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it-IT" w:bidi="ne-N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D365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365A"/>
    <w:pPr>
      <w:ind w:left="720"/>
      <w:contextualSpacing/>
    </w:pPr>
    <w:rPr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24B80"/>
    <w:pPr>
      <w:tabs>
        <w:tab w:val="center" w:pos="4819"/>
        <w:tab w:val="right" w:pos="9638"/>
      </w:tabs>
    </w:pPr>
    <w:rPr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B80"/>
    <w:rPr>
      <w:rFonts w:ascii="Times New Roman" w:eastAsia="Times New Roman" w:hAnsi="Times New Roman" w:cs="Mangal"/>
      <w:sz w:val="20"/>
      <w:szCs w:val="18"/>
      <w:lang w:eastAsia="it-IT" w:bidi="ne-NP"/>
    </w:rPr>
  </w:style>
  <w:style w:type="paragraph" w:styleId="Pidipagina">
    <w:name w:val="footer"/>
    <w:basedOn w:val="Normale"/>
    <w:link w:val="PidipaginaCarattere"/>
    <w:uiPriority w:val="99"/>
    <w:unhideWhenUsed/>
    <w:rsid w:val="00724B80"/>
    <w:pPr>
      <w:tabs>
        <w:tab w:val="center" w:pos="4819"/>
        <w:tab w:val="right" w:pos="9638"/>
      </w:tabs>
    </w:pPr>
    <w:rPr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B80"/>
    <w:rPr>
      <w:rFonts w:ascii="Times New Roman" w:eastAsia="Times New Roman" w:hAnsi="Times New Roman" w:cs="Mangal"/>
      <w:sz w:val="20"/>
      <w:szCs w:val="18"/>
      <w:lang w:eastAsia="it-IT"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65A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it-IT" w:bidi="ne-N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D365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365A"/>
    <w:pPr>
      <w:ind w:left="720"/>
      <w:contextualSpacing/>
    </w:pPr>
    <w:rPr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24B80"/>
    <w:pPr>
      <w:tabs>
        <w:tab w:val="center" w:pos="4819"/>
        <w:tab w:val="right" w:pos="9638"/>
      </w:tabs>
    </w:pPr>
    <w:rPr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B80"/>
    <w:rPr>
      <w:rFonts w:ascii="Times New Roman" w:eastAsia="Times New Roman" w:hAnsi="Times New Roman" w:cs="Mangal"/>
      <w:sz w:val="20"/>
      <w:szCs w:val="18"/>
      <w:lang w:eastAsia="it-IT" w:bidi="ne-NP"/>
    </w:rPr>
  </w:style>
  <w:style w:type="paragraph" w:styleId="Pidipagina">
    <w:name w:val="footer"/>
    <w:basedOn w:val="Normale"/>
    <w:link w:val="PidipaginaCarattere"/>
    <w:uiPriority w:val="99"/>
    <w:unhideWhenUsed/>
    <w:rsid w:val="00724B80"/>
    <w:pPr>
      <w:tabs>
        <w:tab w:val="center" w:pos="4819"/>
        <w:tab w:val="right" w:pos="9638"/>
      </w:tabs>
    </w:pPr>
    <w:rPr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B80"/>
    <w:rPr>
      <w:rFonts w:ascii="Times New Roman" w:eastAsia="Times New Roman" w:hAnsi="Times New Roman" w:cs="Mangal"/>
      <w:sz w:val="20"/>
      <w:szCs w:val="18"/>
      <w:lang w:eastAsia="it-IT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rcialist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Eramo Marisa</cp:lastModifiedBy>
  <cp:revision>3</cp:revision>
  <dcterms:created xsi:type="dcterms:W3CDTF">2012-10-11T10:26:00Z</dcterms:created>
  <dcterms:modified xsi:type="dcterms:W3CDTF">2012-10-12T08:23:00Z</dcterms:modified>
</cp:coreProperties>
</file>