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9DE" w:rsidRDefault="007639DE" w:rsidP="00552111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503887935"/>
      <w:bookmarkStart w:id="1" w:name="_Hlk503887216"/>
      <w:bookmarkStart w:id="2" w:name="_Hlk503944491"/>
      <w:bookmarkStart w:id="3" w:name="_Hlk504136554"/>
      <w:bookmarkStart w:id="4" w:name="_Hlk505089568"/>
      <w:bookmarkStart w:id="5" w:name="_Hlk507592534"/>
    </w:p>
    <w:p w:rsidR="00350900" w:rsidRDefault="00350900" w:rsidP="00350900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6" w:name="_Hlk504140484"/>
      <w:bookmarkStart w:id="7" w:name="_Hlk518908033"/>
      <w:bookmarkEnd w:id="0"/>
      <w:bookmarkEnd w:id="1"/>
      <w:bookmarkEnd w:id="2"/>
      <w:bookmarkEnd w:id="3"/>
      <w:bookmarkEnd w:id="4"/>
      <w:r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bookmarkEnd w:id="5"/>
    <w:bookmarkEnd w:id="6"/>
    <w:bookmarkEnd w:id="7"/>
    <w:p w:rsidR="009C5F72" w:rsidRPr="0062042A" w:rsidRDefault="009C5F72" w:rsidP="009C5F72">
      <w:pPr>
        <w:tabs>
          <w:tab w:val="left" w:pos="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8"/>
          <w:szCs w:val="28"/>
        </w:rPr>
      </w:pPr>
      <w:r w:rsidRPr="0062042A">
        <w:rPr>
          <w:rFonts w:ascii="Arial" w:hAnsi="Arial" w:cs="Arial"/>
          <w:b/>
          <w:sz w:val="28"/>
          <w:szCs w:val="28"/>
        </w:rPr>
        <w:t>TERZO SETTORE, COMMERCIALISTI: DECRETI CORRETTIVI ANCORA MIGLIORABILI</w:t>
      </w:r>
    </w:p>
    <w:p w:rsidR="009C5F72" w:rsidRPr="00745E3C" w:rsidRDefault="009C5F72" w:rsidP="009C5F72">
      <w:pPr>
        <w:tabs>
          <w:tab w:val="left" w:pos="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4"/>
          <w:szCs w:val="24"/>
        </w:rPr>
      </w:pPr>
      <w:r w:rsidRPr="00745E3C">
        <w:rPr>
          <w:rFonts w:ascii="Arial" w:hAnsi="Arial" w:cs="Arial"/>
          <w:b/>
          <w:sz w:val="24"/>
          <w:szCs w:val="24"/>
        </w:rPr>
        <w:t xml:space="preserve">La categoria in audizione presso Camera e Senato. Proposte </w:t>
      </w:r>
      <w:r w:rsidR="00D816CA" w:rsidRPr="00745E3C">
        <w:rPr>
          <w:rFonts w:ascii="Arial" w:hAnsi="Arial" w:cs="Arial"/>
          <w:b/>
          <w:sz w:val="24"/>
          <w:szCs w:val="24"/>
        </w:rPr>
        <w:t>su a</w:t>
      </w:r>
      <w:r w:rsidRPr="00745E3C">
        <w:rPr>
          <w:rFonts w:ascii="Arial" w:hAnsi="Arial" w:cs="Arial"/>
          <w:b/>
          <w:sz w:val="24"/>
          <w:szCs w:val="24"/>
        </w:rPr>
        <w:t xml:space="preserve">mministrazione e controllo, rendicontazione e aspetti fiscali </w:t>
      </w:r>
    </w:p>
    <w:p w:rsidR="00D816CA" w:rsidRPr="00CE4865" w:rsidRDefault="009C5F72" w:rsidP="00D816CA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CE4865">
        <w:rPr>
          <w:rFonts w:ascii="Arial" w:hAnsi="Arial" w:cs="Arial"/>
          <w:i/>
          <w:sz w:val="23"/>
          <w:szCs w:val="23"/>
        </w:rPr>
        <w:t>Roma, 1</w:t>
      </w:r>
      <w:r w:rsidR="00D44EDA">
        <w:rPr>
          <w:rFonts w:ascii="Arial" w:hAnsi="Arial" w:cs="Arial"/>
          <w:i/>
          <w:sz w:val="23"/>
          <w:szCs w:val="23"/>
        </w:rPr>
        <w:t>1</w:t>
      </w:r>
      <w:r w:rsidRPr="00CE4865">
        <w:rPr>
          <w:rFonts w:ascii="Arial" w:hAnsi="Arial" w:cs="Arial"/>
          <w:i/>
          <w:sz w:val="23"/>
          <w:szCs w:val="23"/>
        </w:rPr>
        <w:t xml:space="preserve"> luglio 2018 – </w:t>
      </w:r>
      <w:r w:rsidRPr="00CE4865">
        <w:rPr>
          <w:rFonts w:ascii="Arial" w:hAnsi="Arial" w:cs="Arial"/>
          <w:sz w:val="23"/>
          <w:szCs w:val="23"/>
        </w:rPr>
        <w:t xml:space="preserve">I decreti correttivi della Riforma del Terzo settore contengono </w:t>
      </w:r>
      <w:r w:rsidR="00D816CA" w:rsidRPr="00CE4865">
        <w:rPr>
          <w:rFonts w:ascii="Arial" w:hAnsi="Arial" w:cs="Arial"/>
          <w:sz w:val="23"/>
          <w:szCs w:val="23"/>
        </w:rPr>
        <w:t xml:space="preserve">diversi </w:t>
      </w:r>
      <w:r w:rsidRPr="00CE4865">
        <w:rPr>
          <w:rFonts w:ascii="Arial" w:hAnsi="Arial" w:cs="Arial"/>
          <w:sz w:val="23"/>
          <w:szCs w:val="23"/>
        </w:rPr>
        <w:t xml:space="preserve">aspetti </w:t>
      </w:r>
      <w:r w:rsidRPr="00CE4865">
        <w:rPr>
          <w:rFonts w:ascii="Arial" w:hAnsi="Arial" w:cs="Arial"/>
          <w:b/>
          <w:sz w:val="23"/>
          <w:szCs w:val="23"/>
        </w:rPr>
        <w:t>positivi</w:t>
      </w:r>
      <w:r w:rsidRPr="00CE4865">
        <w:rPr>
          <w:rFonts w:ascii="Arial" w:hAnsi="Arial" w:cs="Arial"/>
          <w:sz w:val="23"/>
          <w:szCs w:val="23"/>
        </w:rPr>
        <w:t xml:space="preserve">, ma restano </w:t>
      </w:r>
      <w:r w:rsidR="00745E3C" w:rsidRPr="00CE4865">
        <w:rPr>
          <w:rFonts w:ascii="Arial" w:hAnsi="Arial" w:cs="Arial"/>
          <w:b/>
          <w:sz w:val="23"/>
          <w:szCs w:val="23"/>
        </w:rPr>
        <w:t>ulterio</w:t>
      </w:r>
      <w:r w:rsidR="00D816CA" w:rsidRPr="00CE4865">
        <w:rPr>
          <w:rFonts w:ascii="Arial" w:hAnsi="Arial" w:cs="Arial"/>
          <w:b/>
          <w:sz w:val="23"/>
          <w:szCs w:val="23"/>
        </w:rPr>
        <w:t xml:space="preserve">rmente </w:t>
      </w:r>
      <w:r w:rsidRPr="00CE4865">
        <w:rPr>
          <w:rFonts w:ascii="Arial" w:hAnsi="Arial" w:cs="Arial"/>
          <w:b/>
          <w:sz w:val="23"/>
          <w:szCs w:val="23"/>
        </w:rPr>
        <w:t>migliorabili</w:t>
      </w:r>
      <w:r w:rsidRPr="00CE4865">
        <w:rPr>
          <w:rFonts w:ascii="Arial" w:hAnsi="Arial" w:cs="Arial"/>
          <w:sz w:val="23"/>
          <w:szCs w:val="23"/>
        </w:rPr>
        <w:t>. Per</w:t>
      </w:r>
      <w:r w:rsidR="00745E3C" w:rsidRPr="00CE4865">
        <w:rPr>
          <w:rFonts w:ascii="Arial" w:hAnsi="Arial" w:cs="Arial"/>
          <w:sz w:val="23"/>
          <w:szCs w:val="23"/>
        </w:rPr>
        <w:t xml:space="preserve"> </w:t>
      </w:r>
      <w:r w:rsidRPr="00CE4865">
        <w:rPr>
          <w:rFonts w:ascii="Arial" w:hAnsi="Arial" w:cs="Arial"/>
          <w:sz w:val="23"/>
          <w:szCs w:val="23"/>
        </w:rPr>
        <w:t>quest</w:t>
      </w:r>
      <w:r w:rsidR="00D44EDA">
        <w:rPr>
          <w:rFonts w:ascii="Arial" w:hAnsi="Arial" w:cs="Arial"/>
          <w:sz w:val="23"/>
          <w:szCs w:val="23"/>
        </w:rPr>
        <w:t xml:space="preserve">o, in un’audizione tenutasi ieri </w:t>
      </w:r>
      <w:bookmarkStart w:id="8" w:name="_GoBack"/>
      <w:bookmarkEnd w:id="8"/>
      <w:r w:rsidRPr="00CE4865">
        <w:rPr>
          <w:rFonts w:ascii="Arial" w:hAnsi="Arial" w:cs="Arial"/>
          <w:sz w:val="23"/>
          <w:szCs w:val="23"/>
        </w:rPr>
        <w:t>presso</w:t>
      </w:r>
      <w:r w:rsidR="00D55AC9">
        <w:rPr>
          <w:rFonts w:ascii="Arial" w:hAnsi="Arial" w:cs="Arial"/>
          <w:sz w:val="23"/>
          <w:szCs w:val="23"/>
        </w:rPr>
        <w:t xml:space="preserve"> la Commissione Affari costituzionali del Senato</w:t>
      </w:r>
      <w:r w:rsidR="00D55AC9" w:rsidRPr="00CE4865">
        <w:rPr>
          <w:rFonts w:ascii="Arial" w:hAnsi="Arial" w:cs="Arial"/>
          <w:sz w:val="23"/>
          <w:szCs w:val="23"/>
        </w:rPr>
        <w:t xml:space="preserve">, </w:t>
      </w:r>
      <w:r w:rsidRPr="00CE4865">
        <w:rPr>
          <w:rFonts w:ascii="Arial" w:hAnsi="Arial" w:cs="Arial"/>
          <w:sz w:val="23"/>
          <w:szCs w:val="23"/>
        </w:rPr>
        <w:t>dopo quella della scorsa settimana presso</w:t>
      </w:r>
      <w:r w:rsidR="00D55AC9">
        <w:rPr>
          <w:rFonts w:ascii="Arial" w:hAnsi="Arial" w:cs="Arial"/>
          <w:sz w:val="23"/>
          <w:szCs w:val="23"/>
        </w:rPr>
        <w:t xml:space="preserve"> la </w:t>
      </w:r>
      <w:r w:rsidR="00EB44BD">
        <w:rPr>
          <w:rFonts w:ascii="Arial" w:hAnsi="Arial" w:cs="Arial"/>
          <w:sz w:val="23"/>
          <w:szCs w:val="23"/>
        </w:rPr>
        <w:t xml:space="preserve">XII </w:t>
      </w:r>
      <w:r w:rsidR="00D55AC9">
        <w:rPr>
          <w:rFonts w:ascii="Arial" w:hAnsi="Arial" w:cs="Arial"/>
          <w:sz w:val="23"/>
          <w:szCs w:val="23"/>
        </w:rPr>
        <w:t xml:space="preserve">Commissione </w:t>
      </w:r>
      <w:r w:rsidR="00EB44BD">
        <w:rPr>
          <w:rFonts w:ascii="Arial" w:hAnsi="Arial" w:cs="Arial"/>
          <w:sz w:val="23"/>
          <w:szCs w:val="23"/>
        </w:rPr>
        <w:t>(</w:t>
      </w:r>
      <w:r w:rsidR="00D55AC9">
        <w:rPr>
          <w:rFonts w:ascii="Arial" w:hAnsi="Arial" w:cs="Arial"/>
          <w:sz w:val="23"/>
          <w:szCs w:val="23"/>
        </w:rPr>
        <w:t>Affari sociali</w:t>
      </w:r>
      <w:r w:rsidR="00EB44BD">
        <w:rPr>
          <w:rFonts w:ascii="Arial" w:hAnsi="Arial" w:cs="Arial"/>
          <w:sz w:val="23"/>
          <w:szCs w:val="23"/>
        </w:rPr>
        <w:t>)</w:t>
      </w:r>
      <w:r w:rsidR="00D55AC9">
        <w:rPr>
          <w:rFonts w:ascii="Arial" w:hAnsi="Arial" w:cs="Arial"/>
          <w:sz w:val="23"/>
          <w:szCs w:val="23"/>
        </w:rPr>
        <w:t xml:space="preserve"> della Camera</w:t>
      </w:r>
      <w:r w:rsidR="00D55AC9" w:rsidRPr="00CE4865">
        <w:rPr>
          <w:rFonts w:ascii="Arial" w:hAnsi="Arial" w:cs="Arial"/>
          <w:sz w:val="23"/>
          <w:szCs w:val="23"/>
        </w:rPr>
        <w:t xml:space="preserve">, </w:t>
      </w:r>
      <w:r w:rsidRPr="00CE4865">
        <w:rPr>
          <w:rFonts w:ascii="Arial" w:hAnsi="Arial" w:cs="Arial"/>
          <w:sz w:val="23"/>
          <w:szCs w:val="23"/>
        </w:rPr>
        <w:t>il Consiglio nazionale dei commercialisti ha formulat</w:t>
      </w:r>
      <w:r w:rsidR="00D816CA" w:rsidRPr="00CE4865">
        <w:rPr>
          <w:rFonts w:ascii="Arial" w:hAnsi="Arial" w:cs="Arial"/>
          <w:sz w:val="23"/>
          <w:szCs w:val="23"/>
        </w:rPr>
        <w:t>o dell</w:t>
      </w:r>
      <w:r w:rsidR="00745E3C" w:rsidRPr="00CE4865">
        <w:rPr>
          <w:rFonts w:ascii="Arial" w:hAnsi="Arial" w:cs="Arial"/>
          <w:sz w:val="23"/>
          <w:szCs w:val="23"/>
        </w:rPr>
        <w:t xml:space="preserve">e </w:t>
      </w:r>
      <w:r w:rsidR="00745E3C" w:rsidRPr="00CE4865">
        <w:rPr>
          <w:rFonts w:ascii="Arial" w:hAnsi="Arial" w:cs="Arial"/>
          <w:b/>
          <w:sz w:val="23"/>
          <w:szCs w:val="23"/>
        </w:rPr>
        <w:t>proposte di emendamento</w:t>
      </w:r>
      <w:r w:rsidR="00745E3C" w:rsidRPr="00CE4865">
        <w:rPr>
          <w:rFonts w:ascii="Arial" w:hAnsi="Arial" w:cs="Arial"/>
          <w:sz w:val="23"/>
          <w:szCs w:val="23"/>
        </w:rPr>
        <w:t>, con un’attenzione specifica agli ambiti relativi ad</w:t>
      </w:r>
      <w:r w:rsidR="00D816CA" w:rsidRPr="00CE4865">
        <w:rPr>
          <w:rFonts w:ascii="Arial" w:hAnsi="Arial" w:cs="Arial"/>
          <w:sz w:val="23"/>
          <w:szCs w:val="23"/>
        </w:rPr>
        <w:t xml:space="preserve"> </w:t>
      </w:r>
      <w:r w:rsidR="00D816CA" w:rsidRPr="00CE4865">
        <w:rPr>
          <w:rFonts w:ascii="Arial" w:hAnsi="Arial" w:cs="Arial"/>
          <w:b/>
          <w:sz w:val="23"/>
          <w:szCs w:val="23"/>
        </w:rPr>
        <w:t>amministrazione e controllo</w:t>
      </w:r>
      <w:r w:rsidR="00D816CA" w:rsidRPr="00CE4865">
        <w:rPr>
          <w:rFonts w:ascii="Arial" w:hAnsi="Arial" w:cs="Arial"/>
          <w:sz w:val="23"/>
          <w:szCs w:val="23"/>
        </w:rPr>
        <w:t xml:space="preserve">, </w:t>
      </w:r>
      <w:r w:rsidR="00745E3C" w:rsidRPr="00CE4865">
        <w:rPr>
          <w:rFonts w:ascii="Arial" w:hAnsi="Arial" w:cs="Arial"/>
          <w:sz w:val="23"/>
          <w:szCs w:val="23"/>
        </w:rPr>
        <w:t xml:space="preserve">alla </w:t>
      </w:r>
      <w:r w:rsidR="00D816CA" w:rsidRPr="00CE4865">
        <w:rPr>
          <w:rFonts w:ascii="Arial" w:hAnsi="Arial" w:cs="Arial"/>
          <w:b/>
          <w:sz w:val="23"/>
          <w:szCs w:val="23"/>
        </w:rPr>
        <w:t xml:space="preserve">rendicontazione </w:t>
      </w:r>
      <w:r w:rsidR="00D816CA" w:rsidRPr="00CE4865">
        <w:rPr>
          <w:rFonts w:ascii="Arial" w:hAnsi="Arial" w:cs="Arial"/>
          <w:sz w:val="23"/>
          <w:szCs w:val="23"/>
        </w:rPr>
        <w:t xml:space="preserve">e </w:t>
      </w:r>
      <w:r w:rsidR="00745E3C" w:rsidRPr="00CE4865">
        <w:rPr>
          <w:rFonts w:ascii="Arial" w:hAnsi="Arial" w:cs="Arial"/>
          <w:sz w:val="23"/>
          <w:szCs w:val="23"/>
        </w:rPr>
        <w:t>ad</w:t>
      </w:r>
      <w:r w:rsidR="00D816CA" w:rsidRPr="00CE4865">
        <w:rPr>
          <w:rFonts w:ascii="Arial" w:hAnsi="Arial" w:cs="Arial"/>
          <w:sz w:val="23"/>
          <w:szCs w:val="23"/>
        </w:rPr>
        <w:t xml:space="preserve"> alcuni </w:t>
      </w:r>
      <w:r w:rsidR="00D816CA" w:rsidRPr="00CE4865">
        <w:rPr>
          <w:rFonts w:ascii="Arial" w:hAnsi="Arial" w:cs="Arial"/>
          <w:b/>
          <w:sz w:val="23"/>
          <w:szCs w:val="23"/>
        </w:rPr>
        <w:t>aspetti fiscali</w:t>
      </w:r>
      <w:r w:rsidR="00D816CA" w:rsidRPr="00CE4865">
        <w:rPr>
          <w:rFonts w:ascii="Arial" w:hAnsi="Arial" w:cs="Arial"/>
          <w:sz w:val="23"/>
          <w:szCs w:val="23"/>
        </w:rPr>
        <w:t xml:space="preserve">.  </w:t>
      </w:r>
    </w:p>
    <w:p w:rsidR="009C5F72" w:rsidRPr="00CE4865" w:rsidRDefault="00D816CA" w:rsidP="00D816CA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CE4865">
        <w:rPr>
          <w:rFonts w:ascii="Arial" w:hAnsi="Arial" w:cs="Arial"/>
          <w:sz w:val="23"/>
          <w:szCs w:val="23"/>
        </w:rPr>
        <w:t>Secondo il</w:t>
      </w:r>
      <w:r w:rsidR="009C5F72" w:rsidRPr="00CE4865">
        <w:rPr>
          <w:rFonts w:ascii="Arial" w:hAnsi="Arial" w:cs="Arial"/>
          <w:sz w:val="23"/>
          <w:szCs w:val="23"/>
        </w:rPr>
        <w:t xml:space="preserve"> Consigliere nazionale delegato al no profit, </w:t>
      </w:r>
      <w:r w:rsidR="009C5F72" w:rsidRPr="00CE4865">
        <w:rPr>
          <w:rFonts w:ascii="Arial" w:hAnsi="Arial" w:cs="Arial"/>
          <w:b/>
          <w:sz w:val="23"/>
          <w:szCs w:val="23"/>
        </w:rPr>
        <w:t>Maurizio Postal</w:t>
      </w:r>
      <w:r w:rsidR="009C5F72" w:rsidRPr="00CE4865">
        <w:rPr>
          <w:rFonts w:ascii="Arial" w:hAnsi="Arial" w:cs="Arial"/>
          <w:sz w:val="23"/>
          <w:szCs w:val="23"/>
        </w:rPr>
        <w:t xml:space="preserve">, </w:t>
      </w:r>
      <w:r w:rsidRPr="00CE4865">
        <w:rPr>
          <w:rFonts w:ascii="Arial" w:hAnsi="Arial" w:cs="Arial"/>
          <w:sz w:val="23"/>
          <w:szCs w:val="23"/>
        </w:rPr>
        <w:t xml:space="preserve">è </w:t>
      </w:r>
      <w:r w:rsidR="009C5F72" w:rsidRPr="00CE4865">
        <w:rPr>
          <w:rFonts w:ascii="Arial" w:hAnsi="Arial" w:cs="Arial"/>
          <w:sz w:val="23"/>
          <w:szCs w:val="23"/>
        </w:rPr>
        <w:t>“positiv</w:t>
      </w:r>
      <w:r w:rsidR="00745E3C" w:rsidRPr="00CE4865">
        <w:rPr>
          <w:rFonts w:ascii="Arial" w:hAnsi="Arial" w:cs="Arial"/>
          <w:sz w:val="23"/>
          <w:szCs w:val="23"/>
        </w:rPr>
        <w:t>o</w:t>
      </w:r>
      <w:r w:rsidR="009C5F72" w:rsidRPr="00CE4865">
        <w:rPr>
          <w:rFonts w:ascii="Arial" w:hAnsi="Arial" w:cs="Arial"/>
          <w:sz w:val="23"/>
          <w:szCs w:val="23"/>
        </w:rPr>
        <w:t xml:space="preserve"> che alcuni </w:t>
      </w:r>
      <w:r w:rsidR="009C5F72" w:rsidRPr="00CE4865">
        <w:rPr>
          <w:rFonts w:ascii="Arial" w:hAnsi="Arial" w:cs="Arial"/>
          <w:b/>
          <w:sz w:val="23"/>
          <w:szCs w:val="23"/>
        </w:rPr>
        <w:t>suggerimenti</w:t>
      </w:r>
      <w:r w:rsidR="009C5F72" w:rsidRPr="00CE4865">
        <w:rPr>
          <w:rFonts w:ascii="Arial" w:hAnsi="Arial" w:cs="Arial"/>
          <w:sz w:val="23"/>
          <w:szCs w:val="23"/>
        </w:rPr>
        <w:t xml:space="preserve"> tecnici forniti dalla categoria, soprattutto in materia di amministrazione e controllo e di rendicontazione, sono stati </w:t>
      </w:r>
      <w:r w:rsidR="009C5F72" w:rsidRPr="00CE4865">
        <w:rPr>
          <w:rFonts w:ascii="Arial" w:hAnsi="Arial" w:cs="Arial"/>
          <w:b/>
          <w:sz w:val="23"/>
          <w:szCs w:val="23"/>
        </w:rPr>
        <w:t>recepiti</w:t>
      </w:r>
      <w:r w:rsidR="009C5F72" w:rsidRPr="00CE4865">
        <w:rPr>
          <w:rFonts w:ascii="Arial" w:hAnsi="Arial" w:cs="Arial"/>
          <w:sz w:val="23"/>
          <w:szCs w:val="23"/>
        </w:rPr>
        <w:t xml:space="preserve"> dallo schema di decreto</w:t>
      </w:r>
      <w:r w:rsidRPr="00CE4865">
        <w:rPr>
          <w:rFonts w:ascii="Arial" w:hAnsi="Arial" w:cs="Arial"/>
          <w:sz w:val="23"/>
          <w:szCs w:val="23"/>
        </w:rPr>
        <w:t>”</w:t>
      </w:r>
      <w:r w:rsidR="009C5F72" w:rsidRPr="00CE4865">
        <w:rPr>
          <w:rFonts w:ascii="Arial" w:hAnsi="Arial" w:cs="Arial"/>
          <w:sz w:val="23"/>
          <w:szCs w:val="23"/>
        </w:rPr>
        <w:t xml:space="preserve">. </w:t>
      </w:r>
      <w:r w:rsidRPr="00CE4865">
        <w:rPr>
          <w:rFonts w:ascii="Arial" w:hAnsi="Arial" w:cs="Arial"/>
          <w:sz w:val="23"/>
          <w:szCs w:val="23"/>
        </w:rPr>
        <w:t>“</w:t>
      </w:r>
      <w:r w:rsidR="009C5F72" w:rsidRPr="00CE4865">
        <w:rPr>
          <w:rFonts w:ascii="Arial" w:hAnsi="Arial" w:cs="Arial"/>
          <w:sz w:val="23"/>
          <w:szCs w:val="23"/>
        </w:rPr>
        <w:t>Tuttavia</w:t>
      </w:r>
      <w:r w:rsidRPr="00CE4865">
        <w:rPr>
          <w:rFonts w:ascii="Arial" w:hAnsi="Arial" w:cs="Arial"/>
          <w:sz w:val="23"/>
          <w:szCs w:val="23"/>
        </w:rPr>
        <w:t>”</w:t>
      </w:r>
      <w:r w:rsidR="009C5F72" w:rsidRPr="00CE4865">
        <w:rPr>
          <w:rFonts w:ascii="Arial" w:hAnsi="Arial" w:cs="Arial"/>
          <w:sz w:val="23"/>
          <w:szCs w:val="23"/>
        </w:rPr>
        <w:t xml:space="preserve">, </w:t>
      </w:r>
      <w:r w:rsidRPr="00CE4865">
        <w:rPr>
          <w:rFonts w:ascii="Arial" w:hAnsi="Arial" w:cs="Arial"/>
          <w:sz w:val="23"/>
          <w:szCs w:val="23"/>
        </w:rPr>
        <w:t>ha affermato, “</w:t>
      </w:r>
      <w:r w:rsidR="009C5F72" w:rsidRPr="00CE4865">
        <w:rPr>
          <w:rFonts w:ascii="Arial" w:hAnsi="Arial" w:cs="Arial"/>
          <w:sz w:val="23"/>
          <w:szCs w:val="23"/>
        </w:rPr>
        <w:t xml:space="preserve">occorre rilevare che persistono alcune </w:t>
      </w:r>
      <w:r w:rsidR="009C5F72" w:rsidRPr="00CE4865">
        <w:rPr>
          <w:rFonts w:ascii="Arial" w:hAnsi="Arial" w:cs="Arial"/>
          <w:b/>
          <w:sz w:val="23"/>
          <w:szCs w:val="23"/>
        </w:rPr>
        <w:t>distorsioni eliminabili</w:t>
      </w:r>
      <w:r w:rsidR="009C5F72" w:rsidRPr="00CE4865">
        <w:rPr>
          <w:rFonts w:ascii="Arial" w:hAnsi="Arial" w:cs="Arial"/>
          <w:sz w:val="23"/>
          <w:szCs w:val="23"/>
        </w:rPr>
        <w:t xml:space="preserve">. In questo ambito, un miglior </w:t>
      </w:r>
      <w:r w:rsidR="009C5F72" w:rsidRPr="00CE4865">
        <w:rPr>
          <w:rFonts w:ascii="Arial" w:hAnsi="Arial" w:cs="Arial"/>
          <w:b/>
          <w:sz w:val="23"/>
          <w:szCs w:val="23"/>
        </w:rPr>
        <w:t>coordinamento</w:t>
      </w:r>
      <w:r w:rsidR="009C5F72" w:rsidRPr="00CE4865">
        <w:rPr>
          <w:rFonts w:ascii="Arial" w:hAnsi="Arial" w:cs="Arial"/>
          <w:sz w:val="23"/>
          <w:szCs w:val="23"/>
        </w:rPr>
        <w:t xml:space="preserve"> tra le norme in materia di obblighi contabili e rendicontativi della sezione civilistica con quanto richiesto ai fini tributari consentirebbe agli enti un minor sforzo amministrativo, mantenendo tuttavia invariati la trasparenza e l’informativa</w:t>
      </w:r>
      <w:r w:rsidRPr="00CE4865">
        <w:rPr>
          <w:rFonts w:ascii="Arial" w:hAnsi="Arial" w:cs="Arial"/>
          <w:sz w:val="23"/>
          <w:szCs w:val="23"/>
        </w:rPr>
        <w:t>”</w:t>
      </w:r>
      <w:r w:rsidR="009C5F72" w:rsidRPr="00CE4865">
        <w:rPr>
          <w:rFonts w:ascii="Arial" w:hAnsi="Arial" w:cs="Arial"/>
          <w:sz w:val="23"/>
          <w:szCs w:val="23"/>
        </w:rPr>
        <w:t xml:space="preserve">. </w:t>
      </w:r>
    </w:p>
    <w:p w:rsidR="009C5F72" w:rsidRPr="00CE4865" w:rsidRDefault="009C5F72" w:rsidP="00D816CA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CE4865">
        <w:rPr>
          <w:rFonts w:ascii="Arial" w:hAnsi="Arial" w:cs="Arial"/>
          <w:sz w:val="23"/>
          <w:szCs w:val="23"/>
        </w:rPr>
        <w:t>In ambito di ammini</w:t>
      </w:r>
      <w:r w:rsidR="00D816CA" w:rsidRPr="00CE4865">
        <w:rPr>
          <w:rFonts w:ascii="Arial" w:hAnsi="Arial" w:cs="Arial"/>
          <w:sz w:val="23"/>
          <w:szCs w:val="23"/>
        </w:rPr>
        <w:t>strazione e controllo</w:t>
      </w:r>
      <w:r w:rsidR="00745E3C" w:rsidRPr="00CE4865">
        <w:rPr>
          <w:rFonts w:ascii="Arial" w:hAnsi="Arial" w:cs="Arial"/>
          <w:sz w:val="23"/>
          <w:szCs w:val="23"/>
        </w:rPr>
        <w:t>, hanno ricordato i commercialisti,</w:t>
      </w:r>
      <w:r w:rsidR="00D816CA" w:rsidRPr="00CE4865">
        <w:rPr>
          <w:rFonts w:ascii="Arial" w:hAnsi="Arial" w:cs="Arial"/>
          <w:sz w:val="23"/>
          <w:szCs w:val="23"/>
        </w:rPr>
        <w:t xml:space="preserve"> </w:t>
      </w:r>
      <w:r w:rsidRPr="00CE4865">
        <w:rPr>
          <w:rFonts w:ascii="Arial" w:hAnsi="Arial" w:cs="Arial"/>
          <w:sz w:val="23"/>
          <w:szCs w:val="23"/>
        </w:rPr>
        <w:t xml:space="preserve">sono state </w:t>
      </w:r>
      <w:r w:rsidR="00745E3C" w:rsidRPr="00CE4865">
        <w:rPr>
          <w:rFonts w:ascii="Arial" w:hAnsi="Arial" w:cs="Arial"/>
          <w:sz w:val="23"/>
          <w:szCs w:val="23"/>
        </w:rPr>
        <w:t xml:space="preserve">inoltre </w:t>
      </w:r>
      <w:r w:rsidRPr="00CE4865">
        <w:rPr>
          <w:rFonts w:ascii="Arial" w:hAnsi="Arial" w:cs="Arial"/>
          <w:sz w:val="23"/>
          <w:szCs w:val="23"/>
        </w:rPr>
        <w:t>riviste alcune disposizioni inerenti l’</w:t>
      </w:r>
      <w:r w:rsidRPr="00CE4865">
        <w:rPr>
          <w:rFonts w:ascii="Arial" w:hAnsi="Arial" w:cs="Arial"/>
          <w:b/>
          <w:sz w:val="23"/>
          <w:szCs w:val="23"/>
        </w:rPr>
        <w:t>attività di controllo</w:t>
      </w:r>
      <w:r w:rsidRPr="00CE4865">
        <w:rPr>
          <w:rFonts w:ascii="Arial" w:hAnsi="Arial" w:cs="Arial"/>
          <w:sz w:val="23"/>
          <w:szCs w:val="23"/>
        </w:rPr>
        <w:t xml:space="preserve"> nonché il coordinamento tra attività di vigilanza svolta dall’organo di controllo e </w:t>
      </w:r>
      <w:r w:rsidR="00D55AC9">
        <w:rPr>
          <w:rFonts w:ascii="Arial" w:hAnsi="Arial" w:cs="Arial"/>
          <w:sz w:val="23"/>
          <w:szCs w:val="23"/>
        </w:rPr>
        <w:t>l’attività di revisione legale</w:t>
      </w:r>
      <w:r w:rsidRPr="00CE4865">
        <w:rPr>
          <w:rFonts w:ascii="Arial" w:hAnsi="Arial" w:cs="Arial"/>
          <w:sz w:val="23"/>
          <w:szCs w:val="23"/>
        </w:rPr>
        <w:t xml:space="preserve"> </w:t>
      </w:r>
      <w:r w:rsidR="00D55AC9" w:rsidRPr="00CE4865">
        <w:rPr>
          <w:rFonts w:ascii="Arial" w:hAnsi="Arial" w:cs="Arial"/>
          <w:sz w:val="23"/>
          <w:szCs w:val="23"/>
        </w:rPr>
        <w:t>svolt</w:t>
      </w:r>
      <w:r w:rsidR="00D55AC9">
        <w:rPr>
          <w:rFonts w:ascii="Arial" w:hAnsi="Arial" w:cs="Arial"/>
          <w:sz w:val="23"/>
          <w:szCs w:val="23"/>
        </w:rPr>
        <w:t>a</w:t>
      </w:r>
      <w:r w:rsidR="00D55AC9" w:rsidRPr="00CE4865">
        <w:rPr>
          <w:rFonts w:ascii="Arial" w:hAnsi="Arial" w:cs="Arial"/>
          <w:sz w:val="23"/>
          <w:szCs w:val="23"/>
        </w:rPr>
        <w:t xml:space="preserve"> </w:t>
      </w:r>
      <w:r w:rsidRPr="00CE4865">
        <w:rPr>
          <w:rFonts w:ascii="Arial" w:hAnsi="Arial" w:cs="Arial"/>
          <w:sz w:val="23"/>
          <w:szCs w:val="23"/>
        </w:rPr>
        <w:t xml:space="preserve">dal soggetto incaricato. </w:t>
      </w:r>
      <w:r w:rsidR="00D816CA" w:rsidRPr="00CE4865">
        <w:rPr>
          <w:rFonts w:ascii="Arial" w:hAnsi="Arial" w:cs="Arial"/>
          <w:sz w:val="23"/>
          <w:szCs w:val="23"/>
        </w:rPr>
        <w:t>“</w:t>
      </w:r>
      <w:r w:rsidRPr="00CE4865">
        <w:rPr>
          <w:rFonts w:ascii="Arial" w:hAnsi="Arial" w:cs="Arial"/>
          <w:sz w:val="23"/>
          <w:szCs w:val="23"/>
        </w:rPr>
        <w:t>Ai fini normativi</w:t>
      </w:r>
      <w:r w:rsidR="00D816CA" w:rsidRPr="00CE4865">
        <w:rPr>
          <w:rFonts w:ascii="Arial" w:hAnsi="Arial" w:cs="Arial"/>
          <w:sz w:val="23"/>
          <w:szCs w:val="23"/>
        </w:rPr>
        <w:t>”</w:t>
      </w:r>
      <w:r w:rsidRPr="00CE4865">
        <w:rPr>
          <w:rFonts w:ascii="Arial" w:hAnsi="Arial" w:cs="Arial"/>
          <w:sz w:val="23"/>
          <w:szCs w:val="23"/>
        </w:rPr>
        <w:t xml:space="preserve">, </w:t>
      </w:r>
      <w:r w:rsidR="00D816CA" w:rsidRPr="00CE4865">
        <w:rPr>
          <w:rFonts w:ascii="Arial" w:hAnsi="Arial" w:cs="Arial"/>
          <w:sz w:val="23"/>
          <w:szCs w:val="23"/>
        </w:rPr>
        <w:t>è la posizione della categoria, “</w:t>
      </w:r>
      <w:r w:rsidRPr="00CE4865">
        <w:rPr>
          <w:rFonts w:ascii="Arial" w:hAnsi="Arial" w:cs="Arial"/>
          <w:sz w:val="23"/>
          <w:szCs w:val="23"/>
        </w:rPr>
        <w:t xml:space="preserve">la previsione che la revisione legale dei conti può essere effettuata da un organo collegiale in cui un solo componente è iscritto all’apposito registro risulta </w:t>
      </w:r>
      <w:r w:rsidR="003C4703" w:rsidRPr="003C4703">
        <w:rPr>
          <w:rFonts w:ascii="Arial" w:hAnsi="Arial" w:cs="Arial"/>
          <w:b/>
          <w:sz w:val="23"/>
          <w:szCs w:val="23"/>
        </w:rPr>
        <w:t>non compatibile</w:t>
      </w:r>
      <w:r w:rsidR="003C4703">
        <w:rPr>
          <w:rFonts w:ascii="Arial" w:hAnsi="Arial" w:cs="Arial"/>
          <w:sz w:val="23"/>
          <w:szCs w:val="23"/>
        </w:rPr>
        <w:t xml:space="preserve"> con</w:t>
      </w:r>
      <w:r w:rsidRPr="00CE4865">
        <w:rPr>
          <w:rFonts w:ascii="Arial" w:hAnsi="Arial" w:cs="Arial"/>
          <w:sz w:val="23"/>
          <w:szCs w:val="23"/>
        </w:rPr>
        <w:t xml:space="preserve"> la norma europea di riferimento, gerarchicamente sovraordinata, </w:t>
      </w:r>
      <w:r w:rsidR="003C4703">
        <w:rPr>
          <w:rFonts w:ascii="Arial" w:hAnsi="Arial" w:cs="Arial"/>
          <w:sz w:val="23"/>
          <w:szCs w:val="23"/>
        </w:rPr>
        <w:t xml:space="preserve">la quale </w:t>
      </w:r>
      <w:r w:rsidRPr="00CE4865">
        <w:rPr>
          <w:rFonts w:ascii="Arial" w:hAnsi="Arial" w:cs="Arial"/>
          <w:sz w:val="23"/>
          <w:szCs w:val="23"/>
        </w:rPr>
        <w:t>dispone che solo i soggetti abilitati possano effettuare tale attività</w:t>
      </w:r>
      <w:r w:rsidR="00D816CA" w:rsidRPr="00CE4865">
        <w:rPr>
          <w:rFonts w:ascii="Arial" w:hAnsi="Arial" w:cs="Arial"/>
          <w:sz w:val="23"/>
          <w:szCs w:val="23"/>
        </w:rPr>
        <w:t>”</w:t>
      </w:r>
      <w:r w:rsidRPr="00CE4865">
        <w:rPr>
          <w:rFonts w:ascii="Arial" w:hAnsi="Arial" w:cs="Arial"/>
          <w:sz w:val="23"/>
          <w:szCs w:val="23"/>
        </w:rPr>
        <w:t>.</w:t>
      </w:r>
    </w:p>
    <w:p w:rsidR="009C5F72" w:rsidRPr="00CE4865" w:rsidRDefault="009C5F72" w:rsidP="00D816CA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CE4865">
        <w:rPr>
          <w:rFonts w:ascii="Arial" w:hAnsi="Arial" w:cs="Arial"/>
          <w:sz w:val="23"/>
          <w:szCs w:val="23"/>
        </w:rPr>
        <w:t xml:space="preserve">Ai fini tributari, </w:t>
      </w:r>
      <w:r w:rsidR="00D816CA" w:rsidRPr="00CE4865">
        <w:rPr>
          <w:rFonts w:ascii="Arial" w:hAnsi="Arial" w:cs="Arial"/>
          <w:sz w:val="23"/>
          <w:szCs w:val="23"/>
        </w:rPr>
        <w:t>i commercialisti chiedono, “</w:t>
      </w:r>
      <w:r w:rsidR="00745E3C" w:rsidRPr="00CE4865">
        <w:rPr>
          <w:rFonts w:ascii="Arial" w:hAnsi="Arial" w:cs="Arial"/>
          <w:sz w:val="23"/>
          <w:szCs w:val="23"/>
        </w:rPr>
        <w:t xml:space="preserve">per </w:t>
      </w:r>
      <w:r w:rsidRPr="00CE4865">
        <w:rPr>
          <w:rFonts w:ascii="Arial" w:hAnsi="Arial" w:cs="Arial"/>
          <w:sz w:val="23"/>
          <w:szCs w:val="23"/>
        </w:rPr>
        <w:t xml:space="preserve">un maggior allineamento con i principi ispiratori della riforma, </w:t>
      </w:r>
      <w:r w:rsidR="00D816CA" w:rsidRPr="00CE4865">
        <w:rPr>
          <w:rFonts w:ascii="Arial" w:hAnsi="Arial" w:cs="Arial"/>
          <w:sz w:val="23"/>
          <w:szCs w:val="23"/>
        </w:rPr>
        <w:t xml:space="preserve">di </w:t>
      </w:r>
      <w:r w:rsidRPr="00CE4865">
        <w:rPr>
          <w:rFonts w:ascii="Arial" w:hAnsi="Arial" w:cs="Arial"/>
          <w:sz w:val="23"/>
          <w:szCs w:val="23"/>
        </w:rPr>
        <w:t xml:space="preserve">disporre la </w:t>
      </w:r>
      <w:r w:rsidRPr="00CE4865">
        <w:rPr>
          <w:rFonts w:ascii="Arial" w:hAnsi="Arial" w:cs="Arial"/>
          <w:b/>
          <w:sz w:val="23"/>
          <w:szCs w:val="23"/>
        </w:rPr>
        <w:t>no</w:t>
      </w:r>
      <w:r w:rsidR="00745E3C" w:rsidRPr="00CE4865">
        <w:rPr>
          <w:rFonts w:ascii="Arial" w:hAnsi="Arial" w:cs="Arial"/>
          <w:b/>
          <w:sz w:val="23"/>
          <w:szCs w:val="23"/>
        </w:rPr>
        <w:t>n imponibilità</w:t>
      </w:r>
      <w:r w:rsidR="00745E3C" w:rsidRPr="00CE4865">
        <w:rPr>
          <w:rFonts w:ascii="Arial" w:hAnsi="Arial" w:cs="Arial"/>
          <w:sz w:val="23"/>
          <w:szCs w:val="23"/>
        </w:rPr>
        <w:t>, in capo agli Enti del terzo settore</w:t>
      </w:r>
      <w:r w:rsidRPr="00CE4865">
        <w:rPr>
          <w:rFonts w:ascii="Arial" w:hAnsi="Arial" w:cs="Arial"/>
          <w:sz w:val="23"/>
          <w:szCs w:val="23"/>
        </w:rPr>
        <w:t xml:space="preserve"> non commerciali, dei </w:t>
      </w:r>
      <w:r w:rsidRPr="00CE4865">
        <w:rPr>
          <w:rFonts w:ascii="Arial" w:hAnsi="Arial" w:cs="Arial"/>
          <w:b/>
          <w:sz w:val="23"/>
          <w:szCs w:val="23"/>
        </w:rPr>
        <w:t>proventi</w:t>
      </w:r>
      <w:r w:rsidRPr="00CE4865">
        <w:rPr>
          <w:rFonts w:ascii="Arial" w:hAnsi="Arial" w:cs="Arial"/>
          <w:sz w:val="23"/>
          <w:szCs w:val="23"/>
        </w:rPr>
        <w:t xml:space="preserve"> derivanti dalla raccolta fondi, laddove questi siano integralmente destinati allo svolgimento, con modalità non commerciali, delle attività di interesse generale</w:t>
      </w:r>
      <w:r w:rsidR="00D816CA" w:rsidRPr="00CE4865">
        <w:rPr>
          <w:rFonts w:ascii="Arial" w:hAnsi="Arial" w:cs="Arial"/>
          <w:sz w:val="23"/>
          <w:szCs w:val="23"/>
        </w:rPr>
        <w:t>”</w:t>
      </w:r>
      <w:r w:rsidRPr="00CE4865">
        <w:rPr>
          <w:rFonts w:ascii="Arial" w:hAnsi="Arial" w:cs="Arial"/>
          <w:sz w:val="23"/>
          <w:szCs w:val="23"/>
        </w:rPr>
        <w:t>.</w:t>
      </w:r>
    </w:p>
    <w:p w:rsidR="009C5F72" w:rsidRPr="00CE4865" w:rsidRDefault="0062042A" w:rsidP="00D816CA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CE4865">
        <w:rPr>
          <w:rFonts w:ascii="Arial" w:hAnsi="Arial" w:cs="Arial"/>
          <w:sz w:val="23"/>
          <w:szCs w:val="23"/>
        </w:rPr>
        <w:t xml:space="preserve">Il Consiglio nazionale ha </w:t>
      </w:r>
      <w:r w:rsidR="00745E3C" w:rsidRPr="00CE4865">
        <w:rPr>
          <w:rFonts w:ascii="Arial" w:hAnsi="Arial" w:cs="Arial"/>
          <w:sz w:val="23"/>
          <w:szCs w:val="23"/>
        </w:rPr>
        <w:t>infine</w:t>
      </w:r>
      <w:r w:rsidR="009C5F72" w:rsidRPr="00CE4865">
        <w:rPr>
          <w:rFonts w:ascii="Arial" w:hAnsi="Arial" w:cs="Arial"/>
          <w:sz w:val="23"/>
          <w:szCs w:val="23"/>
        </w:rPr>
        <w:t xml:space="preserve"> presentat</w:t>
      </w:r>
      <w:r w:rsidRPr="00CE4865">
        <w:rPr>
          <w:rFonts w:ascii="Arial" w:hAnsi="Arial" w:cs="Arial"/>
          <w:sz w:val="23"/>
          <w:szCs w:val="23"/>
        </w:rPr>
        <w:t>o</w:t>
      </w:r>
      <w:r w:rsidR="009C5F72" w:rsidRPr="00CE4865">
        <w:rPr>
          <w:rFonts w:ascii="Arial" w:hAnsi="Arial" w:cs="Arial"/>
          <w:sz w:val="23"/>
          <w:szCs w:val="23"/>
        </w:rPr>
        <w:t xml:space="preserve"> alcune proposte che tendono a conciliare l’intendimento del legislatore delegante con quanto oggi previsto in materia di revisione “organica” del settore. </w:t>
      </w:r>
      <w:r w:rsidR="00745E3C" w:rsidRPr="00CE4865">
        <w:rPr>
          <w:rFonts w:ascii="Arial" w:hAnsi="Arial" w:cs="Arial"/>
          <w:sz w:val="23"/>
          <w:szCs w:val="23"/>
        </w:rPr>
        <w:t>I commercialisti</w:t>
      </w:r>
      <w:r w:rsidR="009C5F72" w:rsidRPr="00CE4865">
        <w:rPr>
          <w:rFonts w:ascii="Arial" w:hAnsi="Arial" w:cs="Arial"/>
          <w:sz w:val="23"/>
          <w:szCs w:val="23"/>
        </w:rPr>
        <w:t xml:space="preserve"> propo</w:t>
      </w:r>
      <w:r w:rsidR="00745E3C" w:rsidRPr="00CE4865">
        <w:rPr>
          <w:rFonts w:ascii="Arial" w:hAnsi="Arial" w:cs="Arial"/>
          <w:sz w:val="23"/>
          <w:szCs w:val="23"/>
        </w:rPr>
        <w:t>ngono</w:t>
      </w:r>
      <w:r w:rsidR="009C5F72" w:rsidRPr="00CE4865">
        <w:rPr>
          <w:rFonts w:ascii="Arial" w:hAnsi="Arial" w:cs="Arial"/>
          <w:sz w:val="23"/>
          <w:szCs w:val="23"/>
        </w:rPr>
        <w:t xml:space="preserve"> che gli enti sportivi dilettantistici possano </w:t>
      </w:r>
      <w:r w:rsidR="009C5F72" w:rsidRPr="00CE4865">
        <w:rPr>
          <w:rFonts w:ascii="Arial" w:hAnsi="Arial" w:cs="Arial"/>
          <w:b/>
          <w:sz w:val="23"/>
          <w:szCs w:val="23"/>
        </w:rPr>
        <w:t>mantenere il regime fiscale della Legge 398/91</w:t>
      </w:r>
      <w:r w:rsidR="009C5F72" w:rsidRPr="00CE4865">
        <w:rPr>
          <w:rFonts w:ascii="Arial" w:hAnsi="Arial" w:cs="Arial"/>
          <w:sz w:val="23"/>
          <w:szCs w:val="23"/>
        </w:rPr>
        <w:t xml:space="preserve"> anche iscrivendosi al registro unico del Terzo settore. Tale “concessione”</w:t>
      </w:r>
      <w:r w:rsidR="00745E3C" w:rsidRPr="00CE4865">
        <w:rPr>
          <w:rFonts w:ascii="Arial" w:hAnsi="Arial" w:cs="Arial"/>
          <w:sz w:val="23"/>
          <w:szCs w:val="23"/>
        </w:rPr>
        <w:t>, secondo Postal, “</w:t>
      </w:r>
      <w:r w:rsidR="009C5F72" w:rsidRPr="00CE4865">
        <w:rPr>
          <w:rFonts w:ascii="Arial" w:hAnsi="Arial" w:cs="Arial"/>
          <w:sz w:val="23"/>
          <w:szCs w:val="23"/>
        </w:rPr>
        <w:t>permette</w:t>
      </w:r>
      <w:r w:rsidR="00745E3C" w:rsidRPr="00CE4865">
        <w:rPr>
          <w:rFonts w:ascii="Arial" w:hAnsi="Arial" w:cs="Arial"/>
          <w:sz w:val="23"/>
          <w:szCs w:val="23"/>
        </w:rPr>
        <w:t>rebbe</w:t>
      </w:r>
      <w:r w:rsidR="009C5F72" w:rsidRPr="00CE4865">
        <w:rPr>
          <w:rFonts w:ascii="Arial" w:hAnsi="Arial" w:cs="Arial"/>
          <w:sz w:val="23"/>
          <w:szCs w:val="23"/>
        </w:rPr>
        <w:t xml:space="preserve"> a</w:t>
      </w:r>
      <w:r w:rsidR="00745E3C" w:rsidRPr="00CE4865">
        <w:rPr>
          <w:rFonts w:ascii="Arial" w:hAnsi="Arial" w:cs="Arial"/>
          <w:sz w:val="23"/>
          <w:szCs w:val="23"/>
        </w:rPr>
        <w:t>gli</w:t>
      </w:r>
      <w:r w:rsidR="009C5F72" w:rsidRPr="00CE4865">
        <w:rPr>
          <w:rFonts w:ascii="Arial" w:hAnsi="Arial" w:cs="Arial"/>
          <w:sz w:val="23"/>
          <w:szCs w:val="23"/>
        </w:rPr>
        <w:t xml:space="preserve"> enti</w:t>
      </w:r>
      <w:r w:rsidR="00745E3C" w:rsidRPr="00CE4865">
        <w:rPr>
          <w:rFonts w:ascii="Arial" w:hAnsi="Arial" w:cs="Arial"/>
          <w:sz w:val="23"/>
          <w:szCs w:val="23"/>
        </w:rPr>
        <w:t xml:space="preserve"> sportivi</w:t>
      </w:r>
      <w:r w:rsidR="009C5F72" w:rsidRPr="00CE4865">
        <w:rPr>
          <w:rFonts w:ascii="Arial" w:hAnsi="Arial" w:cs="Arial"/>
          <w:sz w:val="23"/>
          <w:szCs w:val="23"/>
        </w:rPr>
        <w:t xml:space="preserve"> di effettuare una scelta </w:t>
      </w:r>
      <w:r w:rsidR="009C5F72" w:rsidRPr="00CE4865">
        <w:rPr>
          <w:rFonts w:ascii="Arial" w:hAnsi="Arial" w:cs="Arial"/>
          <w:b/>
          <w:sz w:val="23"/>
          <w:szCs w:val="23"/>
        </w:rPr>
        <w:t>“libera”</w:t>
      </w:r>
      <w:r w:rsidR="009C5F72" w:rsidRPr="00CE4865">
        <w:rPr>
          <w:rFonts w:ascii="Arial" w:hAnsi="Arial" w:cs="Arial"/>
          <w:sz w:val="23"/>
          <w:szCs w:val="23"/>
        </w:rPr>
        <w:t xml:space="preserve"> di iscrizione al registro. L’attuale disposto, di fatto, con tutta probabilità spingerà molti enti sportivi a optare per la non iscrizione garantendosi la possibilità di mantenere il regime fiscale della 398/91. Tuttavia, la mancata iscrizione non consentirà alle realtà che operano nello sport di fruire dei vantaggi previsti dal Codice. Gli enti, inoltre, non sar</w:t>
      </w:r>
      <w:r w:rsidR="00CE4865" w:rsidRPr="00CE4865">
        <w:rPr>
          <w:rFonts w:ascii="Arial" w:hAnsi="Arial" w:cs="Arial"/>
          <w:sz w:val="23"/>
          <w:szCs w:val="23"/>
        </w:rPr>
        <w:t>anno</w:t>
      </w:r>
      <w:r w:rsidR="009C5F72" w:rsidRPr="00CE4865">
        <w:rPr>
          <w:rFonts w:ascii="Arial" w:hAnsi="Arial" w:cs="Arial"/>
          <w:sz w:val="23"/>
          <w:szCs w:val="23"/>
        </w:rPr>
        <w:t xml:space="preserve"> soggetti al previsto sistema dei controlli, non soddisfacendo quel requisito di trasparenza, interna ed esterna, pilastro della riforma</w:t>
      </w:r>
      <w:r w:rsidR="00CE4865" w:rsidRPr="00CE4865">
        <w:rPr>
          <w:rFonts w:ascii="Arial" w:hAnsi="Arial" w:cs="Arial"/>
          <w:sz w:val="23"/>
          <w:szCs w:val="23"/>
        </w:rPr>
        <w:t>”</w:t>
      </w:r>
      <w:r w:rsidR="009C5F72" w:rsidRPr="00CE4865">
        <w:rPr>
          <w:rFonts w:ascii="Arial" w:hAnsi="Arial" w:cs="Arial"/>
          <w:sz w:val="23"/>
          <w:szCs w:val="23"/>
        </w:rPr>
        <w:t>.</w:t>
      </w:r>
    </w:p>
    <w:p w:rsidR="00350900" w:rsidRPr="00CE4865" w:rsidRDefault="00350900" w:rsidP="00D816CA">
      <w:pPr>
        <w:widowControl w:val="0"/>
        <w:spacing w:before="120" w:after="120"/>
        <w:jc w:val="both"/>
        <w:rPr>
          <w:rFonts w:ascii="Arial" w:hAnsi="Arial" w:cs="Arial"/>
          <w:b/>
          <w:bCs/>
          <w:sz w:val="23"/>
          <w:szCs w:val="23"/>
        </w:rPr>
      </w:pPr>
    </w:p>
    <w:sectPr w:rsidR="00350900" w:rsidRPr="00CE486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1C3" w:rsidRDefault="00FD71C3" w:rsidP="0078332C">
      <w:r>
        <w:separator/>
      </w:r>
    </w:p>
  </w:endnote>
  <w:endnote w:type="continuationSeparator" w:id="0">
    <w:p w:rsidR="00FD71C3" w:rsidRDefault="00FD71C3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1C3" w:rsidRDefault="00FD71C3" w:rsidP="0078332C">
      <w:r>
        <w:separator/>
      </w:r>
    </w:p>
  </w:footnote>
  <w:footnote w:type="continuationSeparator" w:id="0">
    <w:p w:rsidR="00FD71C3" w:rsidRDefault="00FD71C3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76AFB"/>
    <w:multiLevelType w:val="hybridMultilevel"/>
    <w:tmpl w:val="A3A208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5"/>
    <w:rsid w:val="00005955"/>
    <w:rsid w:val="00024A50"/>
    <w:rsid w:val="00032856"/>
    <w:rsid w:val="000329A4"/>
    <w:rsid w:val="00037091"/>
    <w:rsid w:val="0006018A"/>
    <w:rsid w:val="0007464D"/>
    <w:rsid w:val="00076A55"/>
    <w:rsid w:val="000969AE"/>
    <w:rsid w:val="000B3EFF"/>
    <w:rsid w:val="000C19B1"/>
    <w:rsid w:val="00103B90"/>
    <w:rsid w:val="00105755"/>
    <w:rsid w:val="00121C2D"/>
    <w:rsid w:val="00122275"/>
    <w:rsid w:val="00146D28"/>
    <w:rsid w:val="00174310"/>
    <w:rsid w:val="00186787"/>
    <w:rsid w:val="00191BB6"/>
    <w:rsid w:val="001C4403"/>
    <w:rsid w:val="001C7E5F"/>
    <w:rsid w:val="001E1EC7"/>
    <w:rsid w:val="001E2D9B"/>
    <w:rsid w:val="0021644F"/>
    <w:rsid w:val="002438B0"/>
    <w:rsid w:val="00271919"/>
    <w:rsid w:val="002A1399"/>
    <w:rsid w:val="002A70B5"/>
    <w:rsid w:val="002A7FD0"/>
    <w:rsid w:val="002C7311"/>
    <w:rsid w:val="002D2034"/>
    <w:rsid w:val="002E6B47"/>
    <w:rsid w:val="00303A76"/>
    <w:rsid w:val="00312A48"/>
    <w:rsid w:val="00314222"/>
    <w:rsid w:val="00332874"/>
    <w:rsid w:val="00350900"/>
    <w:rsid w:val="00365C91"/>
    <w:rsid w:val="00385B8F"/>
    <w:rsid w:val="003C4703"/>
    <w:rsid w:val="003C53E7"/>
    <w:rsid w:val="003D1DEE"/>
    <w:rsid w:val="003E0F52"/>
    <w:rsid w:val="003E753F"/>
    <w:rsid w:val="00417616"/>
    <w:rsid w:val="0047270A"/>
    <w:rsid w:val="00472F6D"/>
    <w:rsid w:val="00476C15"/>
    <w:rsid w:val="00494D2F"/>
    <w:rsid w:val="004A6888"/>
    <w:rsid w:val="004B2695"/>
    <w:rsid w:val="004F7362"/>
    <w:rsid w:val="0050276A"/>
    <w:rsid w:val="00535B92"/>
    <w:rsid w:val="00543860"/>
    <w:rsid w:val="00552111"/>
    <w:rsid w:val="00555885"/>
    <w:rsid w:val="005625A8"/>
    <w:rsid w:val="005636DE"/>
    <w:rsid w:val="00564A2D"/>
    <w:rsid w:val="0058002D"/>
    <w:rsid w:val="005816F1"/>
    <w:rsid w:val="00590F83"/>
    <w:rsid w:val="00596823"/>
    <w:rsid w:val="00596FF9"/>
    <w:rsid w:val="005B75EB"/>
    <w:rsid w:val="005D2D5F"/>
    <w:rsid w:val="005D455A"/>
    <w:rsid w:val="005E4D40"/>
    <w:rsid w:val="005F5B57"/>
    <w:rsid w:val="00612162"/>
    <w:rsid w:val="0062042A"/>
    <w:rsid w:val="006273CC"/>
    <w:rsid w:val="006415D2"/>
    <w:rsid w:val="00641C3C"/>
    <w:rsid w:val="0066338C"/>
    <w:rsid w:val="00677A10"/>
    <w:rsid w:val="00685A18"/>
    <w:rsid w:val="006A0A68"/>
    <w:rsid w:val="006F3547"/>
    <w:rsid w:val="006F4DC7"/>
    <w:rsid w:val="007047F4"/>
    <w:rsid w:val="00721219"/>
    <w:rsid w:val="007423B1"/>
    <w:rsid w:val="00745E3C"/>
    <w:rsid w:val="007639DE"/>
    <w:rsid w:val="00764D9D"/>
    <w:rsid w:val="00766EE7"/>
    <w:rsid w:val="00782159"/>
    <w:rsid w:val="0078332C"/>
    <w:rsid w:val="007A2759"/>
    <w:rsid w:val="007C14B1"/>
    <w:rsid w:val="007E46EA"/>
    <w:rsid w:val="0080389D"/>
    <w:rsid w:val="00845AEA"/>
    <w:rsid w:val="00863104"/>
    <w:rsid w:val="0087487D"/>
    <w:rsid w:val="00892C1F"/>
    <w:rsid w:val="008D77C9"/>
    <w:rsid w:val="008E141E"/>
    <w:rsid w:val="00934F3D"/>
    <w:rsid w:val="00986756"/>
    <w:rsid w:val="009A1934"/>
    <w:rsid w:val="009B541A"/>
    <w:rsid w:val="009C5F72"/>
    <w:rsid w:val="009D0B50"/>
    <w:rsid w:val="009F2B09"/>
    <w:rsid w:val="00A07FB9"/>
    <w:rsid w:val="00A12594"/>
    <w:rsid w:val="00A34135"/>
    <w:rsid w:val="00A47BEF"/>
    <w:rsid w:val="00A52294"/>
    <w:rsid w:val="00A6546B"/>
    <w:rsid w:val="00A837E6"/>
    <w:rsid w:val="00AA004A"/>
    <w:rsid w:val="00AA7145"/>
    <w:rsid w:val="00AB3797"/>
    <w:rsid w:val="00AE3DBA"/>
    <w:rsid w:val="00B01322"/>
    <w:rsid w:val="00B14747"/>
    <w:rsid w:val="00B60AF0"/>
    <w:rsid w:val="00B60CFC"/>
    <w:rsid w:val="00B74510"/>
    <w:rsid w:val="00B87322"/>
    <w:rsid w:val="00B90683"/>
    <w:rsid w:val="00B926C3"/>
    <w:rsid w:val="00BB02DF"/>
    <w:rsid w:val="00BB7EE6"/>
    <w:rsid w:val="00BC14E8"/>
    <w:rsid w:val="00BD0510"/>
    <w:rsid w:val="00BF3A80"/>
    <w:rsid w:val="00C302BD"/>
    <w:rsid w:val="00C342D6"/>
    <w:rsid w:val="00C51ECA"/>
    <w:rsid w:val="00C607B7"/>
    <w:rsid w:val="00C749D9"/>
    <w:rsid w:val="00C86A2C"/>
    <w:rsid w:val="00C92F98"/>
    <w:rsid w:val="00CA67BD"/>
    <w:rsid w:val="00CB14A8"/>
    <w:rsid w:val="00CE4865"/>
    <w:rsid w:val="00CF6388"/>
    <w:rsid w:val="00D02F53"/>
    <w:rsid w:val="00D04ABF"/>
    <w:rsid w:val="00D078C6"/>
    <w:rsid w:val="00D07944"/>
    <w:rsid w:val="00D12802"/>
    <w:rsid w:val="00D21FB3"/>
    <w:rsid w:val="00D27080"/>
    <w:rsid w:val="00D42D24"/>
    <w:rsid w:val="00D44EDA"/>
    <w:rsid w:val="00D55AC9"/>
    <w:rsid w:val="00D570D3"/>
    <w:rsid w:val="00D816CA"/>
    <w:rsid w:val="00DF61A4"/>
    <w:rsid w:val="00E30769"/>
    <w:rsid w:val="00E33070"/>
    <w:rsid w:val="00E41371"/>
    <w:rsid w:val="00E6797B"/>
    <w:rsid w:val="00E855E0"/>
    <w:rsid w:val="00EB02CB"/>
    <w:rsid w:val="00EB44BD"/>
    <w:rsid w:val="00EB7E70"/>
    <w:rsid w:val="00ED08A8"/>
    <w:rsid w:val="00ED2BA2"/>
    <w:rsid w:val="00EE3C69"/>
    <w:rsid w:val="00EE51A4"/>
    <w:rsid w:val="00EF34F5"/>
    <w:rsid w:val="00F079D1"/>
    <w:rsid w:val="00F7125B"/>
    <w:rsid w:val="00FA74D4"/>
    <w:rsid w:val="00FC274B"/>
    <w:rsid w:val="00FC600A"/>
    <w:rsid w:val="00FD4403"/>
    <w:rsid w:val="00FD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49390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Default">
    <w:name w:val="Default"/>
    <w:rsid w:val="00B873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1761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448E7-36AE-4A9E-A5BE-0CD2212A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2018-07-11T08:50:00Z</cp:lastPrinted>
  <dcterms:created xsi:type="dcterms:W3CDTF">2018-07-11T09:28:00Z</dcterms:created>
  <dcterms:modified xsi:type="dcterms:W3CDTF">2018-07-11T09:28:00Z</dcterms:modified>
</cp:coreProperties>
</file>