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2C" w:rsidRDefault="0078332C" w:rsidP="00892C1F">
      <w:pPr>
        <w:rPr>
          <w:rFonts w:ascii="Arial" w:hAnsi="Arial" w:cs="Arial"/>
          <w:b/>
          <w:sz w:val="28"/>
          <w:szCs w:val="28"/>
        </w:rPr>
      </w:pPr>
    </w:p>
    <w:p w:rsidR="00200721" w:rsidRDefault="00200721" w:rsidP="00664311">
      <w:pPr>
        <w:jc w:val="both"/>
        <w:rPr>
          <w:rFonts w:ascii="Arial" w:hAnsi="Arial" w:cs="Arial"/>
          <w:b/>
          <w:sz w:val="28"/>
          <w:szCs w:val="28"/>
          <w:u w:val="single"/>
        </w:rPr>
      </w:pPr>
    </w:p>
    <w:p w:rsidR="00664311" w:rsidRDefault="00664311" w:rsidP="00664311">
      <w:pPr>
        <w:jc w:val="both"/>
        <w:rPr>
          <w:rFonts w:ascii="Arial" w:hAnsi="Arial" w:cs="Arial"/>
          <w:b/>
          <w:sz w:val="28"/>
          <w:szCs w:val="28"/>
          <w:u w:val="single"/>
        </w:rPr>
      </w:pPr>
      <w:r>
        <w:rPr>
          <w:rFonts w:ascii="Arial" w:hAnsi="Arial" w:cs="Arial"/>
          <w:b/>
          <w:sz w:val="28"/>
          <w:szCs w:val="28"/>
          <w:u w:val="single"/>
        </w:rPr>
        <w:t>Comunicato stampa</w:t>
      </w:r>
    </w:p>
    <w:p w:rsidR="00006EE6" w:rsidRPr="00006EE6" w:rsidRDefault="00006EE6" w:rsidP="00006EE6">
      <w:pPr>
        <w:rPr>
          <w:rFonts w:ascii="Arial" w:hAnsi="Arial" w:cs="Arial"/>
          <w:b/>
          <w:sz w:val="26"/>
          <w:szCs w:val="26"/>
        </w:rPr>
      </w:pPr>
    </w:p>
    <w:p w:rsidR="00006EE6" w:rsidRDefault="00006EE6" w:rsidP="00006EE6">
      <w:pPr>
        <w:rPr>
          <w:rFonts w:ascii="Arial" w:hAnsi="Arial" w:cs="Arial"/>
          <w:b/>
          <w:sz w:val="26"/>
          <w:szCs w:val="26"/>
        </w:rPr>
      </w:pPr>
      <w:r w:rsidRPr="00006EE6">
        <w:rPr>
          <w:rFonts w:ascii="Arial" w:hAnsi="Arial" w:cs="Arial"/>
          <w:b/>
          <w:sz w:val="26"/>
          <w:szCs w:val="26"/>
        </w:rPr>
        <w:t xml:space="preserve">COMMERCIALISTI: </w:t>
      </w:r>
      <w:r w:rsidR="00710989">
        <w:rPr>
          <w:rFonts w:ascii="Arial" w:hAnsi="Arial" w:cs="Arial"/>
          <w:b/>
          <w:sz w:val="26"/>
          <w:szCs w:val="26"/>
        </w:rPr>
        <w:t>DDL 59, NO A MISURE PUNITIVE PER I PROFESSIONISTI</w:t>
      </w:r>
    </w:p>
    <w:p w:rsidR="00006EE6" w:rsidRDefault="00006EE6" w:rsidP="00006EE6">
      <w:pPr>
        <w:rPr>
          <w:rFonts w:ascii="Arial" w:hAnsi="Arial" w:cs="Arial"/>
          <w:sz w:val="28"/>
          <w:szCs w:val="28"/>
        </w:rPr>
      </w:pPr>
    </w:p>
    <w:p w:rsidR="009D7791" w:rsidRDefault="009D7791" w:rsidP="009D7791">
      <w:pPr>
        <w:jc w:val="both"/>
        <w:rPr>
          <w:rFonts w:ascii="Arial" w:eastAsia="Times New Roman" w:hAnsi="Arial" w:cs="Arial"/>
          <w:sz w:val="28"/>
          <w:szCs w:val="28"/>
        </w:rPr>
      </w:pPr>
      <w:r w:rsidRPr="009D7791">
        <w:rPr>
          <w:rFonts w:ascii="Arial" w:eastAsia="Times New Roman" w:hAnsi="Arial" w:cs="Arial"/>
          <w:i/>
          <w:sz w:val="28"/>
          <w:szCs w:val="28"/>
        </w:rPr>
        <w:t>Roma, 6 giugno 2016 –</w:t>
      </w:r>
      <w:r>
        <w:rPr>
          <w:rFonts w:ascii="Arial" w:eastAsia="Times New Roman" w:hAnsi="Arial" w:cs="Arial"/>
          <w:sz w:val="28"/>
          <w:szCs w:val="28"/>
        </w:rPr>
        <w:t xml:space="preserve"> No a modifi</w:t>
      </w:r>
      <w:r w:rsidR="007755C8">
        <w:rPr>
          <w:rFonts w:ascii="Arial" w:eastAsia="Times New Roman" w:hAnsi="Arial" w:cs="Arial"/>
          <w:sz w:val="28"/>
          <w:szCs w:val="28"/>
        </w:rPr>
        <w:t xml:space="preserve">che alle modalità di formazione </w:t>
      </w:r>
      <w:r>
        <w:rPr>
          <w:rFonts w:ascii="Arial" w:eastAsia="Times New Roman" w:hAnsi="Arial" w:cs="Arial"/>
          <w:sz w:val="28"/>
          <w:szCs w:val="28"/>
        </w:rPr>
        <w:t xml:space="preserve">dell’elenco </w:t>
      </w:r>
      <w:r w:rsidRPr="0022293E">
        <w:rPr>
          <w:rFonts w:ascii="Arial" w:eastAsia="Times New Roman" w:hAnsi="Arial" w:cs="Arial"/>
          <w:sz w:val="28"/>
          <w:szCs w:val="28"/>
        </w:rPr>
        <w:t>dei professionisti che provvedono alle operazioni di vendita</w:t>
      </w:r>
      <w:r>
        <w:rPr>
          <w:rFonts w:ascii="Arial" w:eastAsia="Times New Roman" w:hAnsi="Arial" w:cs="Arial"/>
          <w:sz w:val="28"/>
          <w:szCs w:val="28"/>
        </w:rPr>
        <w:t xml:space="preserve"> e no all’istituzione </w:t>
      </w:r>
      <w:r w:rsidRPr="0022293E">
        <w:rPr>
          <w:rFonts w:ascii="Arial" w:eastAsia="Times New Roman" w:hAnsi="Arial" w:cs="Arial"/>
          <w:sz w:val="28"/>
          <w:szCs w:val="28"/>
        </w:rPr>
        <w:t>di un albo dei curatori, dei commissari e dei liquidatori</w:t>
      </w:r>
      <w:r>
        <w:rPr>
          <w:rFonts w:ascii="Arial" w:eastAsia="Times New Roman" w:hAnsi="Arial" w:cs="Arial"/>
          <w:sz w:val="28"/>
          <w:szCs w:val="28"/>
        </w:rPr>
        <w:t xml:space="preserve">. In vista dell’inizio della discussione del provvedimento in Senato, i commercialisti esprimono tutte le loro perplessità su alcuni aspetti del </w:t>
      </w:r>
      <w:proofErr w:type="spellStart"/>
      <w:r>
        <w:rPr>
          <w:rFonts w:ascii="Arial" w:eastAsia="Times New Roman" w:hAnsi="Arial" w:cs="Arial"/>
          <w:sz w:val="28"/>
          <w:szCs w:val="28"/>
        </w:rPr>
        <w:t>ddl</w:t>
      </w:r>
      <w:proofErr w:type="spellEnd"/>
      <w:r>
        <w:rPr>
          <w:rFonts w:ascii="Arial" w:eastAsia="Times New Roman" w:hAnsi="Arial" w:cs="Arial"/>
          <w:sz w:val="28"/>
          <w:szCs w:val="28"/>
        </w:rPr>
        <w:t xml:space="preserve"> di conversione del </w:t>
      </w:r>
      <w:r w:rsidRPr="0022293E">
        <w:rPr>
          <w:rFonts w:ascii="Arial" w:eastAsia="Times New Roman" w:hAnsi="Arial" w:cs="Arial"/>
          <w:sz w:val="28"/>
          <w:szCs w:val="28"/>
        </w:rPr>
        <w:t>decreto-legge 3 maggio 2016, n. 59, recante disposizioni urgenti in materia di procedure esecutive e concorsuali</w:t>
      </w:r>
      <w:r>
        <w:rPr>
          <w:rFonts w:ascii="Arial" w:eastAsia="Times New Roman" w:hAnsi="Arial" w:cs="Arial"/>
          <w:sz w:val="28"/>
          <w:szCs w:val="28"/>
        </w:rPr>
        <w:t xml:space="preserve">. </w:t>
      </w:r>
    </w:p>
    <w:p w:rsidR="00710989" w:rsidRDefault="00710989" w:rsidP="009D7791">
      <w:pPr>
        <w:jc w:val="both"/>
        <w:rPr>
          <w:rFonts w:ascii="Arial" w:eastAsia="Times New Roman" w:hAnsi="Arial" w:cs="Arial"/>
          <w:sz w:val="28"/>
          <w:szCs w:val="28"/>
        </w:rPr>
      </w:pPr>
    </w:p>
    <w:p w:rsidR="009D7791" w:rsidRDefault="009D7791" w:rsidP="009D7791">
      <w:pPr>
        <w:jc w:val="both"/>
        <w:rPr>
          <w:rFonts w:ascii="Arial" w:eastAsia="Times New Roman" w:hAnsi="Arial" w:cs="Arial"/>
          <w:sz w:val="28"/>
          <w:szCs w:val="28"/>
        </w:rPr>
      </w:pPr>
      <w:r>
        <w:rPr>
          <w:rFonts w:ascii="Arial" w:eastAsia="Times New Roman" w:hAnsi="Arial" w:cs="Arial"/>
          <w:sz w:val="28"/>
          <w:szCs w:val="28"/>
        </w:rPr>
        <w:t xml:space="preserve">“Auspichiamo vivamente la soppressione </w:t>
      </w:r>
      <w:r>
        <w:rPr>
          <w:rFonts w:ascii="Arial" w:eastAsia="Times New Roman" w:hAnsi="Arial" w:cs="Arial"/>
          <w:sz w:val="28"/>
          <w:szCs w:val="28"/>
        </w:rPr>
        <w:t xml:space="preserve">– afferma il presidente nazionale della categoria, </w:t>
      </w:r>
      <w:r w:rsidRPr="007033DE">
        <w:rPr>
          <w:rFonts w:ascii="Arial" w:eastAsia="Times New Roman" w:hAnsi="Arial" w:cs="Arial"/>
          <w:b/>
          <w:sz w:val="28"/>
          <w:szCs w:val="28"/>
        </w:rPr>
        <w:t>Gerardo Longobardi</w:t>
      </w:r>
      <w:r>
        <w:rPr>
          <w:rFonts w:ascii="Arial" w:eastAsia="Times New Roman" w:hAnsi="Arial" w:cs="Arial"/>
          <w:sz w:val="28"/>
          <w:szCs w:val="28"/>
        </w:rPr>
        <w:t xml:space="preserve"> – </w:t>
      </w:r>
      <w:r>
        <w:rPr>
          <w:rFonts w:ascii="Arial" w:eastAsia="Times New Roman" w:hAnsi="Arial" w:cs="Arial"/>
          <w:sz w:val="28"/>
          <w:szCs w:val="28"/>
        </w:rPr>
        <w:t>dell’</w:t>
      </w:r>
      <w:r w:rsidRPr="0022293E">
        <w:rPr>
          <w:rFonts w:ascii="Arial" w:eastAsia="Times New Roman" w:hAnsi="Arial" w:cs="Arial"/>
          <w:sz w:val="28"/>
          <w:szCs w:val="28"/>
        </w:rPr>
        <w:t xml:space="preserve">emendamento 5.3 (testo 2) </w:t>
      </w:r>
      <w:r>
        <w:rPr>
          <w:rFonts w:ascii="Arial" w:eastAsia="Times New Roman" w:hAnsi="Arial" w:cs="Arial"/>
          <w:sz w:val="28"/>
          <w:szCs w:val="28"/>
        </w:rPr>
        <w:t xml:space="preserve">con </w:t>
      </w:r>
      <w:r w:rsidRPr="0022293E">
        <w:rPr>
          <w:rFonts w:ascii="Arial" w:eastAsia="Times New Roman" w:hAnsi="Arial" w:cs="Arial"/>
          <w:sz w:val="28"/>
          <w:szCs w:val="28"/>
        </w:rPr>
        <w:t>il quale si modificano le modalità di formazione dell’Elenco dei professionisti che provvedono alle operazioni di vendita</w:t>
      </w:r>
      <w:r>
        <w:rPr>
          <w:rFonts w:ascii="Arial" w:eastAsia="Times New Roman" w:hAnsi="Arial" w:cs="Arial"/>
          <w:sz w:val="28"/>
          <w:szCs w:val="28"/>
        </w:rPr>
        <w:t>.</w:t>
      </w:r>
      <w:r w:rsidRPr="0022293E">
        <w:rPr>
          <w:rFonts w:ascii="Arial" w:eastAsia="Times New Roman" w:hAnsi="Arial" w:cs="Arial"/>
          <w:sz w:val="28"/>
          <w:szCs w:val="28"/>
        </w:rPr>
        <w:t xml:space="preserve"> L’attuale sistema di nomina appare assolutamente ragionevole, trasparente e semplificato rispetto a quello declinato nella nuov</w:t>
      </w:r>
      <w:r>
        <w:rPr>
          <w:rFonts w:ascii="Arial" w:eastAsia="Times New Roman" w:hAnsi="Arial" w:cs="Arial"/>
          <w:sz w:val="28"/>
          <w:szCs w:val="28"/>
        </w:rPr>
        <w:t xml:space="preserve">a versione dell’emendamento, </w:t>
      </w:r>
      <w:r w:rsidRPr="0022293E">
        <w:rPr>
          <w:rFonts w:ascii="Arial" w:eastAsia="Times New Roman" w:hAnsi="Arial" w:cs="Arial"/>
          <w:sz w:val="28"/>
          <w:szCs w:val="28"/>
        </w:rPr>
        <w:t>dove si inseriscono ulteriori adempimenti a carico dei professionisti iscritti ad albi ed elenchi, vale a dire a carico di soggetti</w:t>
      </w:r>
      <w:r>
        <w:rPr>
          <w:rFonts w:ascii="Arial" w:eastAsia="Times New Roman" w:hAnsi="Arial" w:cs="Arial"/>
          <w:sz w:val="28"/>
          <w:szCs w:val="28"/>
        </w:rPr>
        <w:t xml:space="preserve"> appartenenti alle professioni </w:t>
      </w:r>
      <w:r w:rsidRPr="0022293E">
        <w:rPr>
          <w:rFonts w:ascii="Arial" w:eastAsia="Times New Roman" w:hAnsi="Arial" w:cs="Arial"/>
          <w:sz w:val="28"/>
          <w:szCs w:val="28"/>
        </w:rPr>
        <w:t>regolamentate dei Commercialisti, degli Avvocati e dei Notai.</w:t>
      </w:r>
      <w:r>
        <w:rPr>
          <w:rFonts w:ascii="Arial" w:eastAsia="Times New Roman" w:hAnsi="Arial" w:cs="Arial"/>
          <w:sz w:val="28"/>
          <w:szCs w:val="28"/>
        </w:rPr>
        <w:t xml:space="preserve"> </w:t>
      </w:r>
      <w:r w:rsidRPr="0022293E">
        <w:rPr>
          <w:rFonts w:ascii="Arial" w:eastAsia="Times New Roman" w:hAnsi="Arial" w:cs="Arial"/>
          <w:sz w:val="28"/>
          <w:szCs w:val="28"/>
        </w:rPr>
        <w:t>La modifica andrebbe, di fatto, a provocare l’emersione di un doppio binario all’interno dell’albo professionale di riferimento assolutamente difforme dall’attuale elenco dei professionisti formato dal presidente del tribunale in base agli elenchi comunicati dai Consigli degli Ordini. Sembra trattarsi, infatti, di un albo nell’albo (</w:t>
      </w:r>
      <w:proofErr w:type="spellStart"/>
      <w:r w:rsidRPr="0022293E">
        <w:rPr>
          <w:rFonts w:ascii="Arial" w:eastAsia="Times New Roman" w:hAnsi="Arial" w:cs="Arial"/>
          <w:sz w:val="28"/>
          <w:szCs w:val="28"/>
        </w:rPr>
        <w:t>rectius</w:t>
      </w:r>
      <w:proofErr w:type="spellEnd"/>
      <w:r w:rsidRPr="0022293E">
        <w:rPr>
          <w:rFonts w:ascii="Arial" w:eastAsia="Times New Roman" w:hAnsi="Arial" w:cs="Arial"/>
          <w:sz w:val="28"/>
          <w:szCs w:val="28"/>
        </w:rPr>
        <w:t xml:space="preserve"> di un elenco all’interno dell’albo), tenuto e vigilato da una Commissione formata dai rappresentati degli ordini professionali interessati e, per la maggioranza dei componenti, da magistrati che potrebbero aver svolto incarichi come giudice dell’esecuzione negli anni anteriori a quello imm</w:t>
      </w:r>
      <w:r w:rsidR="007755C8">
        <w:rPr>
          <w:rFonts w:ascii="Arial" w:eastAsia="Times New Roman" w:hAnsi="Arial" w:cs="Arial"/>
          <w:sz w:val="28"/>
          <w:szCs w:val="28"/>
        </w:rPr>
        <w:t>ediatamente precedente all’</w:t>
      </w:r>
      <w:r w:rsidRPr="0022293E">
        <w:rPr>
          <w:rFonts w:ascii="Arial" w:eastAsia="Times New Roman" w:hAnsi="Arial" w:cs="Arial"/>
          <w:sz w:val="28"/>
          <w:szCs w:val="28"/>
        </w:rPr>
        <w:t>istituzione dell’</w:t>
      </w:r>
      <w:r>
        <w:rPr>
          <w:rFonts w:ascii="Arial" w:eastAsia="Times New Roman" w:hAnsi="Arial" w:cs="Arial"/>
          <w:sz w:val="28"/>
          <w:szCs w:val="28"/>
        </w:rPr>
        <w:t>elenco, minando</w:t>
      </w:r>
      <w:r w:rsidRPr="0022293E">
        <w:rPr>
          <w:rFonts w:ascii="Arial" w:eastAsia="Times New Roman" w:hAnsi="Arial" w:cs="Arial"/>
          <w:sz w:val="28"/>
          <w:szCs w:val="28"/>
        </w:rPr>
        <w:t xml:space="preserve"> le esigenze di imparzialità e trasparenza del procedimento di nomina</w:t>
      </w:r>
      <w:r>
        <w:rPr>
          <w:rFonts w:ascii="Arial" w:eastAsia="Times New Roman" w:hAnsi="Arial" w:cs="Arial"/>
          <w:sz w:val="28"/>
          <w:szCs w:val="28"/>
        </w:rPr>
        <w:t>. I</w:t>
      </w:r>
      <w:r w:rsidRPr="0022293E">
        <w:rPr>
          <w:rFonts w:ascii="Arial" w:eastAsia="Times New Roman" w:hAnsi="Arial" w:cs="Arial"/>
          <w:sz w:val="28"/>
          <w:szCs w:val="28"/>
        </w:rPr>
        <w:t xml:space="preserve">l riconoscimento delle competenze attribuite alla Commissione (che spaziano dall’organizzazione dei corsi di formazione o aggiornamento, alla verifica delle competenze acquisite e mantenute dagli iscritti, dall’accertamento dell’inadempimento dei nuovi obblighi formativi, alla valutazione delle prove scritte finali, dall’iscrizione nell’elenco alla conferma dell’iscrizione, dalla valutazione della diligenza, dell’efficienza ed efficacia con cui sono state svolte le funzioni di delegato) andrebbe ad eludere quelle svolte </w:t>
      </w:r>
      <w:r w:rsidRPr="0022293E">
        <w:rPr>
          <w:rFonts w:ascii="Arial" w:eastAsia="Times New Roman" w:hAnsi="Arial" w:cs="Arial"/>
          <w:sz w:val="28"/>
          <w:szCs w:val="28"/>
        </w:rPr>
        <w:lastRenderedPageBreak/>
        <w:t xml:space="preserve">dagli ordini professionali che ex </w:t>
      </w:r>
      <w:proofErr w:type="spellStart"/>
      <w:r w:rsidRPr="0022293E">
        <w:rPr>
          <w:rFonts w:ascii="Arial" w:eastAsia="Times New Roman" w:hAnsi="Arial" w:cs="Arial"/>
          <w:sz w:val="28"/>
          <w:szCs w:val="28"/>
        </w:rPr>
        <w:t>lege</w:t>
      </w:r>
      <w:proofErr w:type="spellEnd"/>
      <w:r w:rsidRPr="0022293E">
        <w:rPr>
          <w:rFonts w:ascii="Arial" w:eastAsia="Times New Roman" w:hAnsi="Arial" w:cs="Arial"/>
          <w:sz w:val="28"/>
          <w:szCs w:val="28"/>
        </w:rPr>
        <w:t xml:space="preserve"> sono gli unici autorizzati ad esercitare poteri di controllo, di verifica delle competenze ed eventualmente di irrogazione delle sanzioni rispetto all’iscritto che si renda inadempiente.</w:t>
      </w:r>
      <w:r>
        <w:rPr>
          <w:rFonts w:ascii="Arial" w:eastAsia="Times New Roman" w:hAnsi="Arial" w:cs="Arial"/>
          <w:sz w:val="28"/>
          <w:szCs w:val="28"/>
        </w:rPr>
        <w:t xml:space="preserve"> </w:t>
      </w:r>
      <w:r w:rsidRPr="0022293E">
        <w:rPr>
          <w:rFonts w:ascii="Arial" w:eastAsia="Times New Roman" w:hAnsi="Arial" w:cs="Arial"/>
          <w:sz w:val="28"/>
          <w:szCs w:val="28"/>
        </w:rPr>
        <w:t>Conseguentemente, il sistema che si verrebbe a crear</w:t>
      </w:r>
      <w:r w:rsidR="007755C8">
        <w:rPr>
          <w:rFonts w:ascii="Arial" w:eastAsia="Times New Roman" w:hAnsi="Arial" w:cs="Arial"/>
          <w:sz w:val="28"/>
          <w:szCs w:val="28"/>
        </w:rPr>
        <w:t>e</w:t>
      </w:r>
      <w:r w:rsidRPr="0022293E">
        <w:rPr>
          <w:rFonts w:ascii="Arial" w:eastAsia="Times New Roman" w:hAnsi="Arial" w:cs="Arial"/>
          <w:sz w:val="28"/>
          <w:szCs w:val="28"/>
        </w:rPr>
        <w:t xml:space="preserve"> andrebbe a legittimare un sistema di professionalità specifica (c.d. doppio binario delle professionalità) che esula dalle esigenze di urgenza e necessità che caratterizzano il </w:t>
      </w:r>
      <w:proofErr w:type="spellStart"/>
      <w:r w:rsidRPr="0022293E">
        <w:rPr>
          <w:rFonts w:ascii="Arial" w:eastAsia="Times New Roman" w:hAnsi="Arial" w:cs="Arial"/>
          <w:sz w:val="28"/>
          <w:szCs w:val="28"/>
        </w:rPr>
        <w:t>d.l.</w:t>
      </w:r>
      <w:proofErr w:type="spellEnd"/>
      <w:r w:rsidRPr="0022293E">
        <w:rPr>
          <w:rFonts w:ascii="Arial" w:eastAsia="Times New Roman" w:hAnsi="Arial" w:cs="Arial"/>
          <w:sz w:val="28"/>
          <w:szCs w:val="28"/>
        </w:rPr>
        <w:t xml:space="preserve"> n. 59/2016 e che finirebbe con penalizzare il professionista interessato a svolgere funzioni di delegato alle operazioni di vendita</w:t>
      </w:r>
      <w:r>
        <w:rPr>
          <w:rFonts w:ascii="Arial" w:eastAsia="Times New Roman" w:hAnsi="Arial" w:cs="Arial"/>
          <w:sz w:val="28"/>
          <w:szCs w:val="28"/>
        </w:rPr>
        <w:t>”</w:t>
      </w:r>
      <w:r w:rsidRPr="0022293E">
        <w:rPr>
          <w:rFonts w:ascii="Arial" w:eastAsia="Times New Roman" w:hAnsi="Arial" w:cs="Arial"/>
          <w:sz w:val="28"/>
          <w:szCs w:val="28"/>
        </w:rPr>
        <w:t>.</w:t>
      </w:r>
    </w:p>
    <w:p w:rsidR="009D7791" w:rsidRDefault="009D7791" w:rsidP="009D7791">
      <w:pPr>
        <w:jc w:val="both"/>
        <w:rPr>
          <w:rFonts w:ascii="Arial" w:eastAsia="Times New Roman" w:hAnsi="Arial" w:cs="Arial"/>
          <w:sz w:val="28"/>
          <w:szCs w:val="28"/>
        </w:rPr>
      </w:pPr>
    </w:p>
    <w:p w:rsidR="00006EE6" w:rsidRPr="00006EE6" w:rsidRDefault="009D7791" w:rsidP="009D7791">
      <w:pPr>
        <w:jc w:val="both"/>
        <w:rPr>
          <w:rFonts w:ascii="Arial" w:hAnsi="Arial" w:cs="Arial"/>
          <w:sz w:val="24"/>
          <w:szCs w:val="24"/>
        </w:rPr>
      </w:pPr>
      <w:r>
        <w:rPr>
          <w:rFonts w:ascii="Arial" w:eastAsia="Times New Roman" w:hAnsi="Arial" w:cs="Arial"/>
          <w:sz w:val="28"/>
          <w:szCs w:val="28"/>
        </w:rPr>
        <w:t xml:space="preserve">Il </w:t>
      </w:r>
      <w:r w:rsidRPr="0022293E">
        <w:rPr>
          <w:rFonts w:ascii="Arial" w:eastAsia="Times New Roman" w:hAnsi="Arial" w:cs="Arial"/>
          <w:sz w:val="28"/>
          <w:szCs w:val="28"/>
        </w:rPr>
        <w:t xml:space="preserve">Consiglio Nazionale </w:t>
      </w:r>
      <w:r>
        <w:rPr>
          <w:rFonts w:ascii="Arial" w:eastAsia="Times New Roman" w:hAnsi="Arial" w:cs="Arial"/>
          <w:sz w:val="28"/>
          <w:szCs w:val="28"/>
        </w:rPr>
        <w:t>esprime forti</w:t>
      </w:r>
      <w:r w:rsidRPr="0022293E">
        <w:rPr>
          <w:rFonts w:ascii="Arial" w:eastAsia="Times New Roman" w:hAnsi="Arial" w:cs="Arial"/>
          <w:sz w:val="28"/>
          <w:szCs w:val="28"/>
        </w:rPr>
        <w:t xml:space="preserve"> perplessità anche in</w:t>
      </w:r>
      <w:r w:rsidR="007755C8">
        <w:rPr>
          <w:rFonts w:ascii="Arial" w:eastAsia="Times New Roman" w:hAnsi="Arial" w:cs="Arial"/>
          <w:sz w:val="28"/>
          <w:szCs w:val="28"/>
        </w:rPr>
        <w:t xml:space="preserve"> relazione all’emendamento 6.1 </w:t>
      </w:r>
      <w:r w:rsidRPr="0022293E">
        <w:rPr>
          <w:rFonts w:ascii="Arial" w:eastAsia="Times New Roman" w:hAnsi="Arial" w:cs="Arial"/>
          <w:sz w:val="28"/>
          <w:szCs w:val="28"/>
        </w:rPr>
        <w:t>con cui si propone l’inserimento nella legge fallimentare di un nuovo art. 28</w:t>
      </w:r>
      <w:r w:rsidR="007755C8">
        <w:rPr>
          <w:rFonts w:ascii="Arial" w:eastAsia="Times New Roman" w:hAnsi="Arial" w:cs="Arial"/>
          <w:sz w:val="28"/>
          <w:szCs w:val="28"/>
        </w:rPr>
        <w:t xml:space="preserve"> </w:t>
      </w:r>
      <w:r w:rsidRPr="0022293E">
        <w:rPr>
          <w:rFonts w:ascii="Arial" w:eastAsia="Times New Roman" w:hAnsi="Arial" w:cs="Arial"/>
          <w:sz w:val="28"/>
          <w:szCs w:val="28"/>
        </w:rPr>
        <w:t>- bis recante la normativa per l’istituzione, la tenuta e la vigilanza di un albo dei curatori, dei commissari e dei liquidatori.</w:t>
      </w:r>
      <w:r>
        <w:rPr>
          <w:rFonts w:ascii="Arial" w:eastAsia="Times New Roman" w:hAnsi="Arial" w:cs="Arial"/>
          <w:sz w:val="28"/>
          <w:szCs w:val="28"/>
        </w:rPr>
        <w:t xml:space="preserve"> “Secondo la normativa vigente – spiega Longobardi - p</w:t>
      </w:r>
      <w:r w:rsidRPr="0022293E">
        <w:rPr>
          <w:rFonts w:ascii="Arial" w:eastAsia="Times New Roman" w:hAnsi="Arial" w:cs="Arial"/>
          <w:sz w:val="28"/>
          <w:szCs w:val="28"/>
        </w:rPr>
        <w:t>ossono essere chiamati a svolgere le funzioni di curatore: gli iscritti ne</w:t>
      </w:r>
      <w:r w:rsidR="007033DE">
        <w:rPr>
          <w:rFonts w:ascii="Arial" w:eastAsia="Times New Roman" w:hAnsi="Arial" w:cs="Arial"/>
          <w:sz w:val="28"/>
          <w:szCs w:val="28"/>
        </w:rPr>
        <w:t>l</w:t>
      </w:r>
      <w:r w:rsidRPr="0022293E">
        <w:rPr>
          <w:rFonts w:ascii="Arial" w:eastAsia="Times New Roman" w:hAnsi="Arial" w:cs="Arial"/>
          <w:sz w:val="28"/>
          <w:szCs w:val="28"/>
        </w:rPr>
        <w:t>l’albo degli avvocati e</w:t>
      </w:r>
      <w:r w:rsidR="00710989">
        <w:rPr>
          <w:rFonts w:ascii="Arial" w:eastAsia="Times New Roman" w:hAnsi="Arial" w:cs="Arial"/>
          <w:sz w:val="28"/>
          <w:szCs w:val="28"/>
        </w:rPr>
        <w:t xml:space="preserve"> nell’albo dei commercialisti; </w:t>
      </w:r>
      <w:r w:rsidR="007755C8">
        <w:rPr>
          <w:rFonts w:ascii="Arial" w:eastAsia="Times New Roman" w:hAnsi="Arial" w:cs="Arial"/>
          <w:sz w:val="28"/>
          <w:szCs w:val="28"/>
        </w:rPr>
        <w:t xml:space="preserve">le società tra professionisti, le </w:t>
      </w:r>
      <w:r w:rsidRPr="0022293E">
        <w:rPr>
          <w:rFonts w:ascii="Arial" w:eastAsia="Times New Roman" w:hAnsi="Arial" w:cs="Arial"/>
          <w:sz w:val="28"/>
          <w:szCs w:val="28"/>
        </w:rPr>
        <w:t>associazioni professionali sempre che i soci o gli associati siano iscritti ad uno degli albi summenzionati; ed, infine, coloro che abbiano svolto funzioni di amministrazione, direzione e controllo</w:t>
      </w:r>
      <w:bookmarkStart w:id="0" w:name="_GoBack"/>
      <w:bookmarkEnd w:id="0"/>
      <w:r w:rsidRPr="0022293E">
        <w:rPr>
          <w:rFonts w:ascii="Arial" w:eastAsia="Times New Roman" w:hAnsi="Arial" w:cs="Arial"/>
          <w:sz w:val="28"/>
          <w:szCs w:val="28"/>
        </w:rPr>
        <w:t xml:space="preserve"> in società per azioni dando prova di adeguate capacità imprenditoriali e purché non sia intervenuta nei loro confronti dichiarazione di fallimento.</w:t>
      </w:r>
      <w:r w:rsidR="00710989">
        <w:rPr>
          <w:rFonts w:ascii="Arial" w:eastAsia="Times New Roman" w:hAnsi="Arial" w:cs="Arial"/>
          <w:sz w:val="28"/>
          <w:szCs w:val="28"/>
        </w:rPr>
        <w:t xml:space="preserve"> </w:t>
      </w:r>
      <w:r w:rsidRPr="0022293E">
        <w:rPr>
          <w:rFonts w:ascii="Arial" w:eastAsia="Times New Roman" w:hAnsi="Arial" w:cs="Arial"/>
          <w:sz w:val="28"/>
          <w:szCs w:val="28"/>
        </w:rPr>
        <w:t>Sfuggono le motivazioni che inducono i proponenti a suggerire l’isti</w:t>
      </w:r>
      <w:r w:rsidR="00710989">
        <w:rPr>
          <w:rFonts w:ascii="Arial" w:eastAsia="Times New Roman" w:hAnsi="Arial" w:cs="Arial"/>
          <w:sz w:val="28"/>
          <w:szCs w:val="28"/>
        </w:rPr>
        <w:t xml:space="preserve">tuzione di un albo </w:t>
      </w:r>
      <w:r w:rsidRPr="0022293E">
        <w:rPr>
          <w:rFonts w:ascii="Arial" w:eastAsia="Times New Roman" w:hAnsi="Arial" w:cs="Arial"/>
          <w:sz w:val="28"/>
          <w:szCs w:val="28"/>
        </w:rPr>
        <w:t>nell’albo per la regolamentazione di funzioni che i professionisti, in particolar modo quelli iscritti all’Albo dei commercialisti, svolgono da anni con impegno</w:t>
      </w:r>
      <w:r w:rsidR="00710989">
        <w:rPr>
          <w:rFonts w:ascii="Arial" w:eastAsia="Times New Roman" w:hAnsi="Arial" w:cs="Arial"/>
          <w:sz w:val="28"/>
          <w:szCs w:val="28"/>
        </w:rPr>
        <w:t xml:space="preserve"> </w:t>
      </w:r>
      <w:r w:rsidRPr="0022293E">
        <w:rPr>
          <w:rFonts w:ascii="Arial" w:eastAsia="Times New Roman" w:hAnsi="Arial" w:cs="Arial"/>
          <w:sz w:val="28"/>
          <w:szCs w:val="28"/>
        </w:rPr>
        <w:t>e dedizione.</w:t>
      </w:r>
      <w:r w:rsidR="00710989">
        <w:rPr>
          <w:rFonts w:ascii="Arial" w:eastAsia="Times New Roman" w:hAnsi="Arial" w:cs="Arial"/>
          <w:sz w:val="28"/>
          <w:szCs w:val="28"/>
        </w:rPr>
        <w:t xml:space="preserve"> Anche in questo caso – conclude Longobardi – l’emendamento rischia di generare</w:t>
      </w:r>
      <w:r w:rsidRPr="0022293E">
        <w:rPr>
          <w:rFonts w:ascii="Arial" w:eastAsia="Times New Roman" w:hAnsi="Arial" w:cs="Arial"/>
          <w:sz w:val="28"/>
          <w:szCs w:val="28"/>
        </w:rPr>
        <w:t xml:space="preserve"> possibili confitti di interesse, assenza di indipendenza e terzietà, gestione di corsi di formazione e imposizione di ulteriori obblighi formativi per chi già è un professionista iscritto in un albo tenuto da un ente pubblico,</w:t>
      </w:r>
      <w:r w:rsidR="00710989">
        <w:rPr>
          <w:rFonts w:ascii="Arial" w:eastAsia="Times New Roman" w:hAnsi="Arial" w:cs="Arial"/>
          <w:sz w:val="28"/>
          <w:szCs w:val="28"/>
        </w:rPr>
        <w:t xml:space="preserve"> quale è l’Ordine professionale”.</w:t>
      </w:r>
    </w:p>
    <w:sectPr w:rsidR="00006EE6" w:rsidRPr="00006EE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C2" w:rsidRDefault="00D10CC2" w:rsidP="0078332C">
      <w:r>
        <w:separator/>
      </w:r>
    </w:p>
  </w:endnote>
  <w:endnote w:type="continuationSeparator" w:id="0">
    <w:p w:rsidR="00D10CC2" w:rsidRDefault="00D10CC2"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C2" w:rsidRDefault="00D10CC2" w:rsidP="0078332C">
      <w:r>
        <w:separator/>
      </w:r>
    </w:p>
  </w:footnote>
  <w:footnote w:type="continuationSeparator" w:id="0">
    <w:p w:rsidR="00D10CC2" w:rsidRDefault="00D10CC2"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06EE6"/>
    <w:rsid w:val="000329A4"/>
    <w:rsid w:val="0006018A"/>
    <w:rsid w:val="000C19B1"/>
    <w:rsid w:val="00102041"/>
    <w:rsid w:val="00103B90"/>
    <w:rsid w:val="001071F9"/>
    <w:rsid w:val="00121C2D"/>
    <w:rsid w:val="00191BB6"/>
    <w:rsid w:val="001C7E5F"/>
    <w:rsid w:val="00200721"/>
    <w:rsid w:val="002A1399"/>
    <w:rsid w:val="002A7FD0"/>
    <w:rsid w:val="002B033F"/>
    <w:rsid w:val="002D2034"/>
    <w:rsid w:val="002E5779"/>
    <w:rsid w:val="00332874"/>
    <w:rsid w:val="003E0F52"/>
    <w:rsid w:val="0045569A"/>
    <w:rsid w:val="004702BB"/>
    <w:rsid w:val="00495912"/>
    <w:rsid w:val="004B2695"/>
    <w:rsid w:val="00543860"/>
    <w:rsid w:val="00555885"/>
    <w:rsid w:val="0058002D"/>
    <w:rsid w:val="005816F1"/>
    <w:rsid w:val="00590F83"/>
    <w:rsid w:val="005C008B"/>
    <w:rsid w:val="005F0C58"/>
    <w:rsid w:val="005F5B57"/>
    <w:rsid w:val="006273CC"/>
    <w:rsid w:val="00641C3C"/>
    <w:rsid w:val="00664311"/>
    <w:rsid w:val="00677A10"/>
    <w:rsid w:val="007033DE"/>
    <w:rsid w:val="00710989"/>
    <w:rsid w:val="007114F1"/>
    <w:rsid w:val="00764D9D"/>
    <w:rsid w:val="007755C8"/>
    <w:rsid w:val="00782159"/>
    <w:rsid w:val="0078332C"/>
    <w:rsid w:val="007C14B1"/>
    <w:rsid w:val="00801EF3"/>
    <w:rsid w:val="008435C5"/>
    <w:rsid w:val="00892C1F"/>
    <w:rsid w:val="008D69D8"/>
    <w:rsid w:val="00986756"/>
    <w:rsid w:val="009D7791"/>
    <w:rsid w:val="00A07FB9"/>
    <w:rsid w:val="00A12594"/>
    <w:rsid w:val="00A33C90"/>
    <w:rsid w:val="00A34135"/>
    <w:rsid w:val="00A47FEA"/>
    <w:rsid w:val="00A837E6"/>
    <w:rsid w:val="00A8475F"/>
    <w:rsid w:val="00AA7145"/>
    <w:rsid w:val="00AE0EB1"/>
    <w:rsid w:val="00AE3DBA"/>
    <w:rsid w:val="00B01322"/>
    <w:rsid w:val="00B14747"/>
    <w:rsid w:val="00BB6866"/>
    <w:rsid w:val="00BD0510"/>
    <w:rsid w:val="00C342D6"/>
    <w:rsid w:val="00C92F98"/>
    <w:rsid w:val="00CB51DE"/>
    <w:rsid w:val="00CF5AAB"/>
    <w:rsid w:val="00D10CC2"/>
    <w:rsid w:val="00ED2BA2"/>
    <w:rsid w:val="00F7125B"/>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643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styleId="Collegamentoipertestuale">
    <w:name w:val="Hyperlink"/>
    <w:basedOn w:val="Carpredefinitoparagrafo"/>
    <w:uiPriority w:val="99"/>
    <w:unhideWhenUsed/>
    <w:rsid w:val="00102041"/>
    <w:rPr>
      <w:color w:val="0563C1" w:themeColor="hyperlink"/>
      <w:u w:val="single"/>
    </w:rPr>
  </w:style>
  <w:style w:type="character" w:customStyle="1" w:styleId="Titolo1Carattere">
    <w:name w:val="Titolo 1 Carattere"/>
    <w:basedOn w:val="Carpredefinitoparagrafo"/>
    <w:link w:val="Titolo1"/>
    <w:uiPriority w:val="9"/>
    <w:rsid w:val="00664311"/>
    <w:rPr>
      <w:rFonts w:asciiTheme="majorHAnsi" w:eastAsiaTheme="majorEastAsia" w:hAnsiTheme="majorHAnsi" w:cstheme="majorBidi"/>
      <w:color w:val="2E74B5" w:themeColor="accent1" w:themeShade="BF"/>
      <w:sz w:val="32"/>
      <w:szCs w:val="32"/>
    </w:rPr>
  </w:style>
  <w:style w:type="paragraph" w:customStyle="1" w:styleId="share">
    <w:name w:val="share"/>
    <w:basedOn w:val="Normale"/>
    <w:rsid w:val="00664311"/>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64311"/>
  </w:style>
  <w:style w:type="paragraph" w:styleId="NormaleWeb">
    <w:name w:val="Normal (Web)"/>
    <w:basedOn w:val="Normale"/>
    <w:uiPriority w:val="99"/>
    <w:unhideWhenUsed/>
    <w:rsid w:val="00664311"/>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6E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6727">
      <w:bodyDiv w:val="1"/>
      <w:marLeft w:val="0"/>
      <w:marRight w:val="0"/>
      <w:marTop w:val="0"/>
      <w:marBottom w:val="0"/>
      <w:divBdr>
        <w:top w:val="none" w:sz="0" w:space="0" w:color="auto"/>
        <w:left w:val="none" w:sz="0" w:space="0" w:color="auto"/>
        <w:bottom w:val="none" w:sz="0" w:space="0" w:color="auto"/>
        <w:right w:val="none" w:sz="0" w:space="0" w:color="auto"/>
      </w:divBdr>
    </w:div>
    <w:div w:id="311494830">
      <w:bodyDiv w:val="1"/>
      <w:marLeft w:val="0"/>
      <w:marRight w:val="0"/>
      <w:marTop w:val="0"/>
      <w:marBottom w:val="0"/>
      <w:divBdr>
        <w:top w:val="none" w:sz="0" w:space="0" w:color="auto"/>
        <w:left w:val="none" w:sz="0" w:space="0" w:color="auto"/>
        <w:bottom w:val="none" w:sz="0" w:space="0" w:color="auto"/>
        <w:right w:val="none" w:sz="0" w:space="0" w:color="auto"/>
      </w:divBdr>
      <w:divsChild>
        <w:div w:id="1125319520">
          <w:marLeft w:val="0"/>
          <w:marRight w:val="0"/>
          <w:marTop w:val="0"/>
          <w:marBottom w:val="0"/>
          <w:divBdr>
            <w:top w:val="none" w:sz="0" w:space="0" w:color="auto"/>
            <w:left w:val="none" w:sz="0" w:space="0" w:color="auto"/>
            <w:bottom w:val="none" w:sz="0" w:space="0" w:color="auto"/>
            <w:right w:val="none" w:sz="0" w:space="0" w:color="auto"/>
          </w:divBdr>
        </w:div>
      </w:divsChild>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2016-05-04T15:11:00Z</cp:lastPrinted>
  <dcterms:created xsi:type="dcterms:W3CDTF">2016-06-06T13:11:00Z</dcterms:created>
  <dcterms:modified xsi:type="dcterms:W3CDTF">2016-06-06T13:11:00Z</dcterms:modified>
</cp:coreProperties>
</file>