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66" w:rsidRDefault="00A10E66" w:rsidP="006F70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AF37AC" w:rsidRDefault="00481DDB" w:rsidP="006F70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Comunicato </w:t>
      </w:r>
      <w:r w:rsidR="00545007" w:rsidRPr="00A963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stampa</w:t>
      </w:r>
    </w:p>
    <w:p w:rsidR="00B368D4" w:rsidRPr="00695C99" w:rsidRDefault="00B368D4" w:rsidP="00B368D4">
      <w:pPr>
        <w:jc w:val="both"/>
        <w:rPr>
          <w:rFonts w:ascii="Arial" w:hAnsi="Arial" w:cs="Arial"/>
          <w:b/>
          <w:sz w:val="28"/>
          <w:szCs w:val="28"/>
        </w:rPr>
      </w:pPr>
    </w:p>
    <w:p w:rsidR="00B368D4" w:rsidRPr="00695C99" w:rsidRDefault="00695C99" w:rsidP="00B368D4">
      <w:pPr>
        <w:jc w:val="both"/>
        <w:rPr>
          <w:rFonts w:ascii="Arial" w:hAnsi="Arial" w:cs="Arial"/>
          <w:b/>
          <w:sz w:val="28"/>
          <w:szCs w:val="28"/>
        </w:rPr>
      </w:pPr>
      <w:r w:rsidRPr="00695C99">
        <w:rPr>
          <w:rFonts w:ascii="Arial" w:hAnsi="Arial" w:cs="Arial"/>
          <w:b/>
          <w:sz w:val="28"/>
          <w:szCs w:val="28"/>
        </w:rPr>
        <w:t xml:space="preserve">COMMERCIALISTI, </w:t>
      </w:r>
      <w:r>
        <w:rPr>
          <w:rFonts w:ascii="Arial" w:hAnsi="Arial" w:cs="Arial"/>
          <w:b/>
          <w:sz w:val="28"/>
          <w:szCs w:val="28"/>
        </w:rPr>
        <w:t>SU C</w:t>
      </w:r>
      <w:r w:rsidRPr="00695C99">
        <w:rPr>
          <w:rFonts w:ascii="Arial" w:hAnsi="Arial" w:cs="Arial"/>
          <w:b/>
          <w:sz w:val="28"/>
          <w:szCs w:val="28"/>
        </w:rPr>
        <w:t>OMUNICAZIONI IVA</w:t>
      </w:r>
      <w:r w:rsidRPr="00695C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RISPOSTA MEF INSODDISFACENTE</w:t>
      </w:r>
    </w:p>
    <w:p w:rsidR="00B368D4" w:rsidRDefault="00695C99" w:rsidP="00B368D4">
      <w:pPr>
        <w:jc w:val="both"/>
        <w:rPr>
          <w:rFonts w:ascii="Arial" w:hAnsi="Arial" w:cs="Arial"/>
          <w:b/>
          <w:sz w:val="24"/>
          <w:szCs w:val="24"/>
        </w:rPr>
      </w:pPr>
      <w:r w:rsidRPr="00695C99">
        <w:rPr>
          <w:rFonts w:ascii="Arial" w:hAnsi="Arial" w:cs="Arial"/>
          <w:b/>
          <w:sz w:val="24"/>
          <w:szCs w:val="24"/>
        </w:rPr>
        <w:t>MIANI (PRESIDENTE NAZIONALE). “IRRISOLTE LE CRITICITÀ DA NOI DENUNCIATE. COSTI INSOPPORTABILI PER I NOSTRI S</w:t>
      </w:r>
      <w:r>
        <w:rPr>
          <w:rFonts w:ascii="Arial" w:hAnsi="Arial" w:cs="Arial"/>
          <w:b/>
          <w:sz w:val="24"/>
          <w:szCs w:val="24"/>
        </w:rPr>
        <w:t>T</w:t>
      </w:r>
      <w:r w:rsidRPr="00695C99">
        <w:rPr>
          <w:rFonts w:ascii="Arial" w:hAnsi="Arial" w:cs="Arial"/>
          <w:b/>
          <w:sz w:val="24"/>
          <w:szCs w:val="24"/>
        </w:rPr>
        <w:t>UDI”</w:t>
      </w:r>
    </w:p>
    <w:p w:rsidR="00695C99" w:rsidRPr="00695C99" w:rsidRDefault="00695C99" w:rsidP="00B368D4">
      <w:pPr>
        <w:jc w:val="both"/>
        <w:rPr>
          <w:rFonts w:ascii="Arial" w:hAnsi="Arial" w:cs="Arial"/>
          <w:b/>
          <w:sz w:val="24"/>
          <w:szCs w:val="24"/>
        </w:rPr>
      </w:pP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  <w:r w:rsidRPr="009B478E">
        <w:rPr>
          <w:rFonts w:ascii="Arial" w:hAnsi="Arial" w:cs="Arial"/>
          <w:i/>
        </w:rPr>
        <w:t xml:space="preserve">Roma, 4 maggio 2017 – </w:t>
      </w:r>
      <w:r w:rsidRPr="009B478E">
        <w:rPr>
          <w:rFonts w:ascii="Arial" w:hAnsi="Arial" w:cs="Arial"/>
        </w:rPr>
        <w:t xml:space="preserve">“La risposta fornita oggi dal </w:t>
      </w:r>
      <w:proofErr w:type="spellStart"/>
      <w:r w:rsidRPr="009B478E">
        <w:rPr>
          <w:rFonts w:ascii="Arial" w:hAnsi="Arial" w:cs="Arial"/>
        </w:rPr>
        <w:t>Mef</w:t>
      </w:r>
      <w:proofErr w:type="spellEnd"/>
      <w:r w:rsidRPr="009B478E">
        <w:rPr>
          <w:rFonts w:ascii="Arial" w:hAnsi="Arial" w:cs="Arial"/>
        </w:rPr>
        <w:t xml:space="preserve"> all’interrogazione parlamentare sulle nuove modalità di trasmissione telematica delle liquidazioni periodiche Iva </w:t>
      </w:r>
      <w:r w:rsidRPr="009B478E">
        <w:rPr>
          <w:rFonts w:ascii="Arial" w:hAnsi="Arial" w:cs="Arial"/>
          <w:b/>
        </w:rPr>
        <w:t>non è soddisfacente</w:t>
      </w:r>
      <w:r w:rsidRPr="009B478E">
        <w:rPr>
          <w:rFonts w:ascii="Arial" w:hAnsi="Arial" w:cs="Arial"/>
        </w:rPr>
        <w:t xml:space="preserve">. Restano infatti in piedi tutte le </w:t>
      </w:r>
      <w:r w:rsidRPr="009B478E">
        <w:rPr>
          <w:rFonts w:ascii="Arial" w:hAnsi="Arial" w:cs="Arial"/>
          <w:b/>
        </w:rPr>
        <w:t>criticità</w:t>
      </w:r>
      <w:r w:rsidRPr="009B478E">
        <w:rPr>
          <w:rFonts w:ascii="Arial" w:hAnsi="Arial" w:cs="Arial"/>
        </w:rPr>
        <w:t xml:space="preserve"> da noi denunciate nei giorni scorsi, a cominciare dagli insopportabili </w:t>
      </w:r>
      <w:r w:rsidRPr="009B478E">
        <w:rPr>
          <w:rFonts w:ascii="Arial" w:hAnsi="Arial" w:cs="Arial"/>
          <w:b/>
        </w:rPr>
        <w:t xml:space="preserve">costi </w:t>
      </w:r>
      <w:r w:rsidRPr="009B478E">
        <w:rPr>
          <w:rFonts w:ascii="Arial" w:hAnsi="Arial" w:cs="Arial"/>
        </w:rPr>
        <w:t xml:space="preserve">per i software necessari al nuovo adempimento”. </w:t>
      </w:r>
      <w:proofErr w:type="gramStart"/>
      <w:r w:rsidRPr="009B478E">
        <w:rPr>
          <w:rFonts w:ascii="Arial" w:hAnsi="Arial" w:cs="Arial"/>
        </w:rPr>
        <w:t>E’</w:t>
      </w:r>
      <w:proofErr w:type="gramEnd"/>
      <w:r w:rsidRPr="009B478E">
        <w:rPr>
          <w:rFonts w:ascii="Arial" w:hAnsi="Arial" w:cs="Arial"/>
        </w:rPr>
        <w:t xml:space="preserve"> quanto afferma il presidente nazionale dei commercialisti, </w:t>
      </w:r>
      <w:r w:rsidRPr="009B478E">
        <w:rPr>
          <w:rFonts w:ascii="Arial" w:hAnsi="Arial" w:cs="Arial"/>
          <w:b/>
        </w:rPr>
        <w:t>Massimo Miani</w:t>
      </w:r>
      <w:r w:rsidRPr="009B478E">
        <w:rPr>
          <w:rFonts w:ascii="Arial" w:hAnsi="Arial" w:cs="Arial"/>
        </w:rPr>
        <w:t xml:space="preserve">, secondo il quale, inoltre, “tenuto conto dell’ancora attuale indisponibilità degli applicativi necessari, è indispensabile un </w:t>
      </w:r>
      <w:r w:rsidRPr="009B478E">
        <w:rPr>
          <w:rFonts w:ascii="Arial" w:hAnsi="Arial" w:cs="Arial"/>
          <w:b/>
        </w:rPr>
        <w:t>rinvio della scadenza</w:t>
      </w:r>
      <w:r w:rsidRPr="009B478E">
        <w:rPr>
          <w:rFonts w:ascii="Arial" w:hAnsi="Arial" w:cs="Arial"/>
        </w:rPr>
        <w:t xml:space="preserve">, in linea con quanto previsto dallo Statuto del contribuente”. “Da questo punto di vista – afferma ancora Miani - pur apprezzando le aperture venute oggi in tal senso dal Viceministro </w:t>
      </w:r>
      <w:proofErr w:type="spellStart"/>
      <w:r w:rsidRPr="009B478E">
        <w:rPr>
          <w:rFonts w:ascii="Arial" w:hAnsi="Arial" w:cs="Arial"/>
          <w:b/>
        </w:rPr>
        <w:t>Casero</w:t>
      </w:r>
      <w:proofErr w:type="spellEnd"/>
      <w:r w:rsidRPr="009B478E">
        <w:rPr>
          <w:rFonts w:ascii="Arial" w:hAnsi="Arial" w:cs="Arial"/>
        </w:rPr>
        <w:t xml:space="preserve">, il quale ha annunciato un rinvio tecnico di </w:t>
      </w:r>
      <w:r w:rsidRPr="009B478E">
        <w:rPr>
          <w:rFonts w:ascii="Arial" w:hAnsi="Arial" w:cs="Arial"/>
          <w:b/>
        </w:rPr>
        <w:t>10-15 giorni</w:t>
      </w:r>
      <w:r w:rsidRPr="009B478E">
        <w:rPr>
          <w:rFonts w:ascii="Arial" w:hAnsi="Arial" w:cs="Arial"/>
        </w:rPr>
        <w:t xml:space="preserve">, avremmo preferito un </w:t>
      </w:r>
      <w:r w:rsidRPr="009B478E">
        <w:rPr>
          <w:rFonts w:ascii="Arial" w:hAnsi="Arial" w:cs="Arial"/>
          <w:b/>
        </w:rPr>
        <w:t>maggior lasso di tempo</w:t>
      </w:r>
      <w:r w:rsidRPr="009B478E">
        <w:rPr>
          <w:rFonts w:ascii="Arial" w:hAnsi="Arial" w:cs="Arial"/>
        </w:rPr>
        <w:t xml:space="preserve"> per testare l’adempimento e per formare il personale che dovrà effettuare gli invii telematici con il nuovo sistema di trasmissione”. </w:t>
      </w: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  <w:r w:rsidRPr="009B478E">
        <w:rPr>
          <w:rFonts w:ascii="Arial" w:hAnsi="Arial" w:cs="Arial"/>
        </w:rPr>
        <w:t xml:space="preserve">“Fermo restando che non ci convincono le ragioni addotte dal MEF a giustificazione della scelta di non consentire l’utilizzo del servizio Entratel per questo adempimento – prosegue Miani - resta il fatto che le modalità di trasmissione individuate generano </w:t>
      </w:r>
      <w:r w:rsidRPr="009B478E">
        <w:rPr>
          <w:rFonts w:ascii="Arial" w:hAnsi="Arial" w:cs="Arial"/>
          <w:b/>
        </w:rPr>
        <w:t>comunque o costi eccessivi o insormontabili complessità procedurali</w:t>
      </w:r>
      <w:r w:rsidRPr="009B478E">
        <w:rPr>
          <w:rFonts w:ascii="Arial" w:hAnsi="Arial" w:cs="Arial"/>
        </w:rPr>
        <w:t>”.</w:t>
      </w: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</w:p>
    <w:p w:rsidR="00B368D4" w:rsidRPr="009B478E" w:rsidRDefault="00CB20EC" w:rsidP="00B368D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Nelle precisazioni</w:t>
      </w:r>
      <w:bookmarkStart w:id="0" w:name="_GoBack"/>
      <w:bookmarkEnd w:id="0"/>
      <w:r>
        <w:rPr>
          <w:rFonts w:ascii="Arial" w:hAnsi="Arial" w:cs="Arial"/>
        </w:rPr>
        <w:t xml:space="preserve"> dell’Agenzia delle Entrate riportate n</w:t>
      </w:r>
      <w:r w:rsidR="00B368D4" w:rsidRPr="009B478E">
        <w:rPr>
          <w:rFonts w:ascii="Arial" w:hAnsi="Arial" w:cs="Arial"/>
        </w:rPr>
        <w:t xml:space="preserve">ella risposta del Ministero, sottolineano i commercialisti, </w:t>
      </w:r>
      <w:r>
        <w:rPr>
          <w:rFonts w:ascii="Arial" w:hAnsi="Arial" w:cs="Arial"/>
        </w:rPr>
        <w:t>si afferma</w:t>
      </w:r>
      <w:r w:rsidR="00B368D4" w:rsidRPr="009B478E">
        <w:rPr>
          <w:rFonts w:ascii="Arial" w:hAnsi="Arial" w:cs="Arial"/>
        </w:rPr>
        <w:t xml:space="preserve"> infatti che i professionisti potranno effettuare l’adempimento “con diverse modalità operative, interamente digitali, sia in maniera integrata con i propri software gestionali presenti sul mercato, sia con i necessari strumenti software messi a disposizione dall’Agenzia delle Entrate” e che è assicurata in entrambi i casi la possibilità di invio di un file compresso contenente le comunicazioni delle liquidazioni relative a più soggetti.</w:t>
      </w: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  <w:r w:rsidRPr="009B478E">
        <w:rPr>
          <w:rFonts w:ascii="Arial" w:hAnsi="Arial" w:cs="Arial"/>
        </w:rPr>
        <w:t xml:space="preserve">“Nel primo caso, dunque – spiega Miani - resta comunque la necessità di </w:t>
      </w:r>
      <w:r w:rsidRPr="009B478E">
        <w:rPr>
          <w:rFonts w:ascii="Arial" w:hAnsi="Arial" w:cs="Arial"/>
          <w:b/>
        </w:rPr>
        <w:t xml:space="preserve">acquistare gli applicativi </w:t>
      </w:r>
      <w:r w:rsidRPr="009B478E">
        <w:rPr>
          <w:rFonts w:ascii="Arial" w:hAnsi="Arial" w:cs="Arial"/>
        </w:rPr>
        <w:t xml:space="preserve">necessari per importi che arrivano </w:t>
      </w:r>
      <w:r w:rsidRPr="00E52EDF">
        <w:rPr>
          <w:rFonts w:ascii="Arial" w:hAnsi="Arial" w:cs="Arial"/>
          <w:b/>
        </w:rPr>
        <w:t>anche a mille euro all’anno</w:t>
      </w:r>
      <w:r w:rsidRPr="009B478E">
        <w:t xml:space="preserve"> </w:t>
      </w:r>
      <w:r w:rsidRPr="009B478E">
        <w:rPr>
          <w:rFonts w:ascii="Arial" w:hAnsi="Arial" w:cs="Arial"/>
        </w:rPr>
        <w:t>che si aggiungono ai notevoli costi che già oggi gravano sugli studi professionali”.</w:t>
      </w: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</w:p>
    <w:p w:rsidR="00B368D4" w:rsidRPr="009B478E" w:rsidRDefault="00B368D4" w:rsidP="00B368D4">
      <w:pPr>
        <w:tabs>
          <w:tab w:val="left" w:pos="709"/>
        </w:tabs>
        <w:jc w:val="both"/>
        <w:rPr>
          <w:rFonts w:ascii="Arial" w:hAnsi="Arial" w:cs="Arial"/>
        </w:rPr>
      </w:pPr>
      <w:r w:rsidRPr="009B478E">
        <w:rPr>
          <w:rFonts w:ascii="Arial" w:hAnsi="Arial" w:cs="Arial"/>
        </w:rPr>
        <w:t xml:space="preserve">“Nel secondo caso </w:t>
      </w:r>
      <w:r w:rsidR="009B478E">
        <w:rPr>
          <w:rFonts w:ascii="Arial" w:hAnsi="Arial" w:cs="Arial"/>
        </w:rPr>
        <w:t>–</w:t>
      </w:r>
      <w:r w:rsidRPr="009B478E">
        <w:rPr>
          <w:rFonts w:ascii="Arial" w:hAnsi="Arial" w:cs="Arial"/>
        </w:rPr>
        <w:t xml:space="preserve"> </w:t>
      </w:r>
      <w:r w:rsidR="009B478E">
        <w:rPr>
          <w:rFonts w:ascii="Arial" w:hAnsi="Arial" w:cs="Arial"/>
        </w:rPr>
        <w:t xml:space="preserve">prosegue </w:t>
      </w:r>
      <w:r w:rsidRPr="009B478E">
        <w:rPr>
          <w:rFonts w:ascii="Arial" w:hAnsi="Arial" w:cs="Arial"/>
        </w:rPr>
        <w:t xml:space="preserve">il presidente dei commercialisti - il </w:t>
      </w:r>
      <w:r w:rsidRPr="009B478E">
        <w:rPr>
          <w:rFonts w:ascii="Arial" w:hAnsi="Arial" w:cs="Arial"/>
          <w:i/>
        </w:rPr>
        <w:t>software</w:t>
      </w:r>
      <w:r w:rsidRPr="009B478E">
        <w:rPr>
          <w:rFonts w:ascii="Arial" w:hAnsi="Arial" w:cs="Arial"/>
        </w:rPr>
        <w:t xml:space="preserve"> messo a disposizione dall’Agenzia, sia pure consentirà, come oggi finalmente chiarito, l’invio di un unico </w:t>
      </w:r>
      <w:r w:rsidRPr="009B478E">
        <w:rPr>
          <w:rFonts w:ascii="Arial" w:hAnsi="Arial" w:cs="Arial"/>
          <w:i/>
        </w:rPr>
        <w:t>file</w:t>
      </w:r>
      <w:r w:rsidRPr="009B478E">
        <w:rPr>
          <w:rFonts w:ascii="Arial" w:hAnsi="Arial" w:cs="Arial"/>
        </w:rPr>
        <w:t xml:space="preserve"> per più soggetti, </w:t>
      </w:r>
      <w:r w:rsidRPr="009B478E">
        <w:rPr>
          <w:rFonts w:ascii="Arial" w:hAnsi="Arial" w:cs="Arial"/>
          <w:b/>
        </w:rPr>
        <w:t xml:space="preserve">non può </w:t>
      </w:r>
      <w:r w:rsidR="009B478E" w:rsidRPr="009B478E">
        <w:rPr>
          <w:rFonts w:ascii="Arial" w:hAnsi="Arial" w:cs="Arial"/>
          <w:b/>
        </w:rPr>
        <w:t xml:space="preserve">di fatto </w:t>
      </w:r>
      <w:r w:rsidRPr="009B478E">
        <w:rPr>
          <w:rFonts w:ascii="Arial" w:hAnsi="Arial" w:cs="Arial"/>
          <w:b/>
        </w:rPr>
        <w:t>essere utilizzato</w:t>
      </w:r>
      <w:r w:rsidRPr="009B478E">
        <w:rPr>
          <w:rFonts w:ascii="Arial" w:hAnsi="Arial" w:cs="Arial"/>
        </w:rPr>
        <w:t xml:space="preserve"> dai noi professionisti, non essendo possibile trasferire automaticamente i dati dai nostri </w:t>
      </w:r>
      <w:r w:rsidRPr="009B478E">
        <w:rPr>
          <w:rFonts w:ascii="Arial" w:hAnsi="Arial" w:cs="Arial"/>
          <w:i/>
        </w:rPr>
        <w:t>software</w:t>
      </w:r>
      <w:r w:rsidRPr="009B478E">
        <w:rPr>
          <w:rFonts w:ascii="Arial" w:hAnsi="Arial" w:cs="Arial"/>
        </w:rPr>
        <w:t xml:space="preserve"> gestionali a quello predisposto dall’Agenzia per l’invio delle comunicazioni</w:t>
      </w:r>
      <w:r w:rsidR="009B478E">
        <w:rPr>
          <w:rFonts w:ascii="Arial" w:hAnsi="Arial" w:cs="Arial"/>
        </w:rPr>
        <w:t>”</w:t>
      </w:r>
      <w:r w:rsidRPr="009B478E">
        <w:rPr>
          <w:rFonts w:ascii="Arial" w:hAnsi="Arial" w:cs="Arial"/>
        </w:rPr>
        <w:t>.</w:t>
      </w:r>
    </w:p>
    <w:p w:rsidR="009B478E" w:rsidRPr="009B478E" w:rsidRDefault="009B478E" w:rsidP="00B368D4">
      <w:pPr>
        <w:tabs>
          <w:tab w:val="left" w:pos="709"/>
        </w:tabs>
        <w:jc w:val="both"/>
        <w:rPr>
          <w:rFonts w:ascii="Arial" w:hAnsi="Arial" w:cs="Arial"/>
        </w:rPr>
      </w:pPr>
    </w:p>
    <w:p w:rsidR="006D312C" w:rsidRPr="009B478E" w:rsidRDefault="009B478E" w:rsidP="00B368D4">
      <w:pPr>
        <w:jc w:val="both"/>
        <w:rPr>
          <w:rFonts w:ascii="Arial" w:hAnsi="Arial" w:cs="Arial"/>
          <w:color w:val="000000" w:themeColor="text1"/>
        </w:rPr>
      </w:pPr>
      <w:r w:rsidRPr="009B478E">
        <w:rPr>
          <w:rFonts w:ascii="Arial" w:hAnsi="Arial" w:cs="Arial"/>
          <w:color w:val="000000" w:themeColor="text1"/>
        </w:rPr>
        <w:t xml:space="preserve">“Il dato di fatto – conclude Miani - è che a meno di trenta giorni dalla sua scadenza ci troviamo ancora in uno stato di </w:t>
      </w:r>
      <w:r w:rsidRPr="00E52EDF">
        <w:rPr>
          <w:rFonts w:ascii="Arial" w:hAnsi="Arial" w:cs="Arial"/>
          <w:b/>
          <w:color w:val="000000" w:themeColor="text1"/>
        </w:rPr>
        <w:t>grande incertezza</w:t>
      </w:r>
      <w:r w:rsidRPr="009B478E">
        <w:rPr>
          <w:rFonts w:ascii="Arial" w:hAnsi="Arial" w:cs="Arial"/>
          <w:color w:val="000000" w:themeColor="text1"/>
        </w:rPr>
        <w:t xml:space="preserve"> </w:t>
      </w:r>
      <w:r w:rsidRPr="00E52EDF">
        <w:rPr>
          <w:rFonts w:ascii="Arial" w:hAnsi="Arial" w:cs="Arial"/>
          <w:b/>
          <w:color w:val="000000" w:themeColor="text1"/>
        </w:rPr>
        <w:t>per un adempimento che era stato annunciato senza costi e complicazioni</w:t>
      </w:r>
      <w:r w:rsidRPr="009B478E">
        <w:rPr>
          <w:rFonts w:ascii="Arial" w:hAnsi="Arial" w:cs="Arial"/>
          <w:color w:val="000000" w:themeColor="text1"/>
        </w:rPr>
        <w:t xml:space="preserve">”. </w:t>
      </w:r>
    </w:p>
    <w:sectPr w:rsidR="006D312C" w:rsidRPr="009B478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95" w:rsidRDefault="00A15C95" w:rsidP="0078332C">
      <w:r>
        <w:separator/>
      </w:r>
    </w:p>
  </w:endnote>
  <w:endnote w:type="continuationSeparator" w:id="0">
    <w:p w:rsidR="00A15C95" w:rsidRDefault="00A15C95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3E1B1E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06.4786332</w:t>
    </w:r>
    <w:r w:rsidR="00A8475F">
      <w:rPr>
        <w:rFonts w:ascii="Arial" w:hAnsi="Arial" w:cs="Arial"/>
        <w:sz w:val="20"/>
        <w:szCs w:val="20"/>
      </w:rPr>
      <w:t>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95" w:rsidRDefault="00A15C95" w:rsidP="0078332C">
      <w:r>
        <w:separator/>
      </w:r>
    </w:p>
  </w:footnote>
  <w:footnote w:type="continuationSeparator" w:id="0">
    <w:p w:rsidR="00A15C95" w:rsidRDefault="00A15C95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6616"/>
    <w:multiLevelType w:val="hybridMultilevel"/>
    <w:tmpl w:val="18E8EF5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42DC"/>
    <w:rsid w:val="00017FFB"/>
    <w:rsid w:val="000329A4"/>
    <w:rsid w:val="00044942"/>
    <w:rsid w:val="000475E9"/>
    <w:rsid w:val="0006018A"/>
    <w:rsid w:val="00065233"/>
    <w:rsid w:val="00072530"/>
    <w:rsid w:val="00093FA1"/>
    <w:rsid w:val="00096075"/>
    <w:rsid w:val="000A2E79"/>
    <w:rsid w:val="000C19B1"/>
    <w:rsid w:val="00103B90"/>
    <w:rsid w:val="00121C2D"/>
    <w:rsid w:val="0012370B"/>
    <w:rsid w:val="001267CB"/>
    <w:rsid w:val="00191BB6"/>
    <w:rsid w:val="00192936"/>
    <w:rsid w:val="001C7D62"/>
    <w:rsid w:val="001C7E5F"/>
    <w:rsid w:val="001D06B4"/>
    <w:rsid w:val="00202E49"/>
    <w:rsid w:val="002138A1"/>
    <w:rsid w:val="002525DD"/>
    <w:rsid w:val="00273B0D"/>
    <w:rsid w:val="00282F12"/>
    <w:rsid w:val="002A120E"/>
    <w:rsid w:val="002A1399"/>
    <w:rsid w:val="002A7FD0"/>
    <w:rsid w:val="002B033F"/>
    <w:rsid w:val="002D2034"/>
    <w:rsid w:val="002D77D5"/>
    <w:rsid w:val="002E5779"/>
    <w:rsid w:val="00305148"/>
    <w:rsid w:val="00332874"/>
    <w:rsid w:val="003349F2"/>
    <w:rsid w:val="00373804"/>
    <w:rsid w:val="003A48BD"/>
    <w:rsid w:val="003A7B1F"/>
    <w:rsid w:val="003B5F79"/>
    <w:rsid w:val="003B7AA7"/>
    <w:rsid w:val="003D0BF2"/>
    <w:rsid w:val="003E0F52"/>
    <w:rsid w:val="003E1B1E"/>
    <w:rsid w:val="003F6088"/>
    <w:rsid w:val="00460B34"/>
    <w:rsid w:val="00462E32"/>
    <w:rsid w:val="00477C67"/>
    <w:rsid w:val="00480469"/>
    <w:rsid w:val="00481DDB"/>
    <w:rsid w:val="00491911"/>
    <w:rsid w:val="004952FC"/>
    <w:rsid w:val="00497FD8"/>
    <w:rsid w:val="004B2695"/>
    <w:rsid w:val="004C5521"/>
    <w:rsid w:val="004D72EF"/>
    <w:rsid w:val="004E7E5A"/>
    <w:rsid w:val="00512E22"/>
    <w:rsid w:val="00543860"/>
    <w:rsid w:val="00545007"/>
    <w:rsid w:val="00555885"/>
    <w:rsid w:val="0058002D"/>
    <w:rsid w:val="005816F1"/>
    <w:rsid w:val="00590F83"/>
    <w:rsid w:val="005A5486"/>
    <w:rsid w:val="005A7275"/>
    <w:rsid w:val="005C7544"/>
    <w:rsid w:val="005F0C58"/>
    <w:rsid w:val="005F5B57"/>
    <w:rsid w:val="006071B7"/>
    <w:rsid w:val="00626E59"/>
    <w:rsid w:val="006273CC"/>
    <w:rsid w:val="00641C3C"/>
    <w:rsid w:val="00650D2D"/>
    <w:rsid w:val="00671B01"/>
    <w:rsid w:val="00675FE8"/>
    <w:rsid w:val="00677A10"/>
    <w:rsid w:val="00695C99"/>
    <w:rsid w:val="006C398F"/>
    <w:rsid w:val="006C4D58"/>
    <w:rsid w:val="006D312C"/>
    <w:rsid w:val="006D387C"/>
    <w:rsid w:val="006E0163"/>
    <w:rsid w:val="006E7E15"/>
    <w:rsid w:val="006F70F8"/>
    <w:rsid w:val="007114F1"/>
    <w:rsid w:val="00764D9D"/>
    <w:rsid w:val="00775661"/>
    <w:rsid w:val="00782159"/>
    <w:rsid w:val="0078332C"/>
    <w:rsid w:val="00784195"/>
    <w:rsid w:val="007B47B4"/>
    <w:rsid w:val="007B6AC0"/>
    <w:rsid w:val="007B7197"/>
    <w:rsid w:val="007C14B1"/>
    <w:rsid w:val="007E25D0"/>
    <w:rsid w:val="007F73DB"/>
    <w:rsid w:val="00800937"/>
    <w:rsid w:val="008538EB"/>
    <w:rsid w:val="008545BF"/>
    <w:rsid w:val="00857467"/>
    <w:rsid w:val="00872890"/>
    <w:rsid w:val="00875736"/>
    <w:rsid w:val="008823BE"/>
    <w:rsid w:val="00892C1F"/>
    <w:rsid w:val="008A6D39"/>
    <w:rsid w:val="008D69D8"/>
    <w:rsid w:val="008F15F3"/>
    <w:rsid w:val="0090109F"/>
    <w:rsid w:val="00913DAE"/>
    <w:rsid w:val="0095595D"/>
    <w:rsid w:val="00961263"/>
    <w:rsid w:val="00963401"/>
    <w:rsid w:val="00986756"/>
    <w:rsid w:val="00997933"/>
    <w:rsid w:val="009B1636"/>
    <w:rsid w:val="009B478E"/>
    <w:rsid w:val="009B6165"/>
    <w:rsid w:val="00A07FB9"/>
    <w:rsid w:val="00A10E66"/>
    <w:rsid w:val="00A12594"/>
    <w:rsid w:val="00A14764"/>
    <w:rsid w:val="00A15C95"/>
    <w:rsid w:val="00A26406"/>
    <w:rsid w:val="00A34135"/>
    <w:rsid w:val="00A4420A"/>
    <w:rsid w:val="00A468C5"/>
    <w:rsid w:val="00A47FEA"/>
    <w:rsid w:val="00A56C23"/>
    <w:rsid w:val="00A7311A"/>
    <w:rsid w:val="00A837E6"/>
    <w:rsid w:val="00A8475F"/>
    <w:rsid w:val="00A95375"/>
    <w:rsid w:val="00A9588C"/>
    <w:rsid w:val="00A96364"/>
    <w:rsid w:val="00AA3D04"/>
    <w:rsid w:val="00AA7145"/>
    <w:rsid w:val="00AD6437"/>
    <w:rsid w:val="00AE0EB1"/>
    <w:rsid w:val="00AE3DBA"/>
    <w:rsid w:val="00AF37AC"/>
    <w:rsid w:val="00AF3B8B"/>
    <w:rsid w:val="00AF593F"/>
    <w:rsid w:val="00B01322"/>
    <w:rsid w:val="00B02EEF"/>
    <w:rsid w:val="00B14747"/>
    <w:rsid w:val="00B169EB"/>
    <w:rsid w:val="00B368D4"/>
    <w:rsid w:val="00B37BB9"/>
    <w:rsid w:val="00B82041"/>
    <w:rsid w:val="00B86187"/>
    <w:rsid w:val="00B874BD"/>
    <w:rsid w:val="00B964AA"/>
    <w:rsid w:val="00B96F60"/>
    <w:rsid w:val="00BB5E5A"/>
    <w:rsid w:val="00BD0510"/>
    <w:rsid w:val="00BE76F7"/>
    <w:rsid w:val="00C12899"/>
    <w:rsid w:val="00C13B95"/>
    <w:rsid w:val="00C27CA3"/>
    <w:rsid w:val="00C342D6"/>
    <w:rsid w:val="00C528AF"/>
    <w:rsid w:val="00C7570F"/>
    <w:rsid w:val="00C82E4F"/>
    <w:rsid w:val="00C9107A"/>
    <w:rsid w:val="00C92A52"/>
    <w:rsid w:val="00C92F98"/>
    <w:rsid w:val="00C93B05"/>
    <w:rsid w:val="00CA234F"/>
    <w:rsid w:val="00CB20EC"/>
    <w:rsid w:val="00CB51DE"/>
    <w:rsid w:val="00CC1A3B"/>
    <w:rsid w:val="00CE493C"/>
    <w:rsid w:val="00CF5AAB"/>
    <w:rsid w:val="00D0565B"/>
    <w:rsid w:val="00D267BC"/>
    <w:rsid w:val="00D301C8"/>
    <w:rsid w:val="00D36928"/>
    <w:rsid w:val="00D61E2D"/>
    <w:rsid w:val="00D86C56"/>
    <w:rsid w:val="00DA507C"/>
    <w:rsid w:val="00E018F4"/>
    <w:rsid w:val="00E43464"/>
    <w:rsid w:val="00E52EDF"/>
    <w:rsid w:val="00E83254"/>
    <w:rsid w:val="00E94794"/>
    <w:rsid w:val="00E96CB8"/>
    <w:rsid w:val="00E97B8E"/>
    <w:rsid w:val="00EC6A83"/>
    <w:rsid w:val="00EC74C8"/>
    <w:rsid w:val="00ED2BA2"/>
    <w:rsid w:val="00ED57D5"/>
    <w:rsid w:val="00ED7E04"/>
    <w:rsid w:val="00EE0275"/>
    <w:rsid w:val="00F12406"/>
    <w:rsid w:val="00F141DB"/>
    <w:rsid w:val="00F14F90"/>
    <w:rsid w:val="00F163A3"/>
    <w:rsid w:val="00F409A6"/>
    <w:rsid w:val="00F5457A"/>
    <w:rsid w:val="00F601CB"/>
    <w:rsid w:val="00F62326"/>
    <w:rsid w:val="00F67394"/>
    <w:rsid w:val="00F7125B"/>
    <w:rsid w:val="00F961FB"/>
    <w:rsid w:val="00F97331"/>
    <w:rsid w:val="00F97E4B"/>
    <w:rsid w:val="00FA0B81"/>
    <w:rsid w:val="00FA62A2"/>
    <w:rsid w:val="00FA67B4"/>
    <w:rsid w:val="00FC274B"/>
    <w:rsid w:val="00FC600A"/>
    <w:rsid w:val="00FE36B2"/>
    <w:rsid w:val="00FE51CF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928B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C0C6-870F-47B0-BF41-E745D934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2017-05-04T14:34:00Z</cp:lastPrinted>
  <dcterms:created xsi:type="dcterms:W3CDTF">2017-05-04T14:59:00Z</dcterms:created>
  <dcterms:modified xsi:type="dcterms:W3CDTF">2017-05-04T14:59:00Z</dcterms:modified>
</cp:coreProperties>
</file>