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5B08" w14:textId="77777777" w:rsidR="00B243F1" w:rsidRPr="008B2F8F" w:rsidRDefault="00B243F1" w:rsidP="008B2F8F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</w:pPr>
      <w:bookmarkStart w:id="0" w:name="_Toc121493313"/>
    </w:p>
    <w:p w14:paraId="561676F3" w14:textId="77777777" w:rsidR="00B243F1" w:rsidRPr="008B2F8F" w:rsidRDefault="00B243F1" w:rsidP="008B2F8F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</w:pPr>
    </w:p>
    <w:p w14:paraId="1E79E7A6" w14:textId="12760E7C" w:rsidR="00165F48" w:rsidRPr="007158D3" w:rsidRDefault="00165F48" w:rsidP="007158D3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</w:pPr>
      <w:r w:rsidRPr="007158D3"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  <w:t>Comunicato stampa</w:t>
      </w:r>
    </w:p>
    <w:p w14:paraId="55CCE352" w14:textId="77777777" w:rsidR="00165F48" w:rsidRPr="007158D3" w:rsidRDefault="00165F48" w:rsidP="007158D3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4D03DFF4" w14:textId="13507D06" w:rsidR="00165F48" w:rsidRPr="007158D3" w:rsidRDefault="00544D45" w:rsidP="007158D3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  <w:r w:rsidRPr="007158D3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SERVIZIO WEB “PROCURE”, RINNOVATA LA CONVENZIONE</w:t>
      </w:r>
    </w:p>
    <w:p w14:paraId="65568BCD" w14:textId="77777777" w:rsidR="00165F48" w:rsidRPr="007158D3" w:rsidRDefault="00165F48" w:rsidP="007158D3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</w:p>
    <w:p w14:paraId="0678F97D" w14:textId="2F001483" w:rsidR="00165F48" w:rsidRPr="007158D3" w:rsidRDefault="00544D45" w:rsidP="007158D3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  <w:r w:rsidRPr="007158D3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A disposizione dei commercialisti l’acquisizione delle informazioni sulla procura conferita dal contribuente al professionista per la rappresentanza o assistenza del cliente presso gli uffici </w:t>
      </w:r>
      <w:proofErr w:type="spellStart"/>
      <w:r w:rsidRPr="007158D3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dell’AdE</w:t>
      </w:r>
      <w:proofErr w:type="spellEnd"/>
    </w:p>
    <w:p w14:paraId="2D493F6E" w14:textId="77777777" w:rsidR="00B814AE" w:rsidRPr="007158D3" w:rsidRDefault="00B814AE" w:rsidP="007158D3">
      <w:pPr>
        <w:spacing w:after="0" w:line="240" w:lineRule="auto"/>
        <w:ind w:left="-62"/>
        <w:jc w:val="both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</w:p>
    <w:bookmarkEnd w:id="0"/>
    <w:p w14:paraId="5AE48103" w14:textId="42AFF671" w:rsidR="00544D45" w:rsidRDefault="00544D45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7158D3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lang w:eastAsia="it-IT"/>
          <w14:ligatures w14:val="none"/>
        </w:rPr>
        <w:t>Roma, 4 ottobre 2023</w:t>
      </w:r>
      <w:r w:rsidRPr="007158D3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– 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Grazie al rinnovo, avvenuto lo scorso luglio, della Convenzione tra l’Agenzia delle Entrate e il Consiglio Nazionale dei Commercialisti resta confermata, anche nei prossimi anni, la possibilità di accesso al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Servizio </w:t>
      </w:r>
      <w:r w:rsidRPr="00544D45">
        <w:rPr>
          <w:rFonts w:ascii="Arial" w:eastAsia="Times New Roman" w:hAnsi="Arial" w:cs="Arial"/>
          <w:b/>
          <w:bCs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web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 “Procure”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che l’Agenzia delle Entrate ha messo a disposizione degli iscritti agli Ordini dei commercialisti per l’acquisizione delle informazioni relative alla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procura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conferita dal contribuente al professionista iscritto all’albo per lo svolgimento delle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attività di rappresentanza o assistenza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del proprio cliente presso gli uffici dell’Agenzia. Ne dà notizia lo stesso Consiglio nazionale con l’informativa 122/2023 a firma del presidente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Elbano de Nuccio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</w:t>
      </w:r>
    </w:p>
    <w:p w14:paraId="0B256375" w14:textId="77777777" w:rsidR="007158D3" w:rsidRPr="00544D45" w:rsidRDefault="007158D3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3B8B37C0" w14:textId="77777777" w:rsidR="00544D45" w:rsidRDefault="00544D45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Come specificato nell’informativa, il servizio consente ai Commercialisti di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precaricare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nei sistemi dell’Agenzia delle Entrate i dati delle procure ricevute dai propri clienti nonché i dati dei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collaboratori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dello studio eventualmente delegati dal professionista, al fine di poterli rappresentare presso gli Uffici dell’Agenzia senza dover più produrre, all’atto dell’accesso, l’esemplare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cartaceo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della procura ricevuta dal cliente e la copia del suo documento d’identità nonché la delega che il professionista ha rilasciato al proprio collaboratore di studio, qualora sia quest’ultimo a fare accesso presso gli Uffici. Gli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originali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delle procure dovranno essere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conservati presso lo studio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del commercialista per le eventuali successive verifiche.</w:t>
      </w:r>
    </w:p>
    <w:p w14:paraId="295EB8FD" w14:textId="77777777" w:rsidR="007158D3" w:rsidRPr="00544D45" w:rsidRDefault="007158D3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66E68BC0" w14:textId="77777777" w:rsidR="00544D45" w:rsidRPr="00544D45" w:rsidRDefault="00544D45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Più nel dettaglio, il Servizio 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web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permette di:</w:t>
      </w:r>
    </w:p>
    <w:p w14:paraId="358C3E23" w14:textId="77777777" w:rsidR="00544D45" w:rsidRPr="00544D45" w:rsidRDefault="00544D45" w:rsidP="007158D3">
      <w:pPr>
        <w:numPr>
          <w:ilvl w:val="0"/>
          <w:numId w:val="1"/>
        </w:numPr>
        <w:shd w:val="clear" w:color="auto" w:fill="FFFFFF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registrare, anche in modo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massivo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le procure ricevute dai propri clienti, per lo svolgimento dei seguenti servizi:</w:t>
      </w:r>
    </w:p>
    <w:p w14:paraId="60388214" w14:textId="77777777" w:rsidR="00544D45" w:rsidRPr="00544D45" w:rsidRDefault="00544D45" w:rsidP="007158D3">
      <w:pPr>
        <w:numPr>
          <w:ilvl w:val="1"/>
          <w:numId w:val="1"/>
        </w:numPr>
        <w:shd w:val="clear" w:color="auto" w:fill="FFFFFF"/>
        <w:spacing w:after="0" w:line="240" w:lineRule="auto"/>
        <w:ind w:left="1848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presentazione e trattazione di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 istanze di autotutela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relative ad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avvisi di accertamento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ex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41-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bis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del d.P.R. n. 600/1973;</w:t>
      </w:r>
    </w:p>
    <w:p w14:paraId="72E33066" w14:textId="77777777" w:rsidR="00544D45" w:rsidRPr="00544D45" w:rsidRDefault="00544D45" w:rsidP="007158D3">
      <w:pPr>
        <w:numPr>
          <w:ilvl w:val="1"/>
          <w:numId w:val="1"/>
        </w:numPr>
        <w:shd w:val="clear" w:color="auto" w:fill="FFFFFF"/>
        <w:spacing w:after="0" w:line="240" w:lineRule="auto"/>
        <w:ind w:left="1848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presentazione e trattazione di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istanze di autotutela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relative a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 cartelle di pagamento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e ad atti di natura esattiva (e non) relativi a dichiarazioni presentate (artt. 36-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bis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36-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ter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41-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bis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del d.P.R. n. 600/1973, art. 54-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bis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del d.P.R. n. 633/1972, non lavorabili tramite CIVIS);</w:t>
      </w:r>
    </w:p>
    <w:p w14:paraId="10C4B1EB" w14:textId="77777777" w:rsidR="00544D45" w:rsidRPr="00544D45" w:rsidRDefault="00544D45" w:rsidP="007158D3">
      <w:pPr>
        <w:numPr>
          <w:ilvl w:val="1"/>
          <w:numId w:val="1"/>
        </w:numPr>
        <w:shd w:val="clear" w:color="auto" w:fill="FFFFFF"/>
        <w:spacing w:after="0" w:line="240" w:lineRule="auto"/>
        <w:ind w:left="1848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presentazione e trattazione di documentazione per l’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ottenimento di rimborsi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ad eccezione della presentazione del modello per la richiesta di accredito su conto corrente bancario o postale dei rimborsi;</w:t>
      </w:r>
    </w:p>
    <w:p w14:paraId="64EA3765" w14:textId="77777777" w:rsidR="00544D45" w:rsidRPr="00544D45" w:rsidRDefault="00544D45" w:rsidP="007158D3">
      <w:pPr>
        <w:numPr>
          <w:ilvl w:val="1"/>
          <w:numId w:val="1"/>
        </w:numPr>
        <w:shd w:val="clear" w:color="auto" w:fill="FFFFFF"/>
        <w:spacing w:after="0" w:line="240" w:lineRule="auto"/>
        <w:ind w:left="1848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consegna di documentazione relativa ad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atti e/o procedimenti in corso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ex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36-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bis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e 36-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ter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del d.P.R. n. 600/1973, art. 54-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bis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del d.P.R. n. 633/1972 e simili (a titolo esemplificativo: consegna di documenti integrativi richiesti dall’Agenzia delle Entrate, consegna della documentazione richiesta in seguito al controllo sulla spettanza di detrazioni/deduzioni indicate nella dichiarazione dei redditi);</w:t>
      </w:r>
    </w:p>
    <w:p w14:paraId="085C1249" w14:textId="77777777" w:rsidR="00544D45" w:rsidRDefault="00544D45" w:rsidP="007158D3">
      <w:pPr>
        <w:numPr>
          <w:ilvl w:val="1"/>
          <w:numId w:val="1"/>
        </w:numPr>
        <w:shd w:val="clear" w:color="auto" w:fill="FFFFFF"/>
        <w:spacing w:after="0" w:line="240" w:lineRule="auto"/>
        <w:ind w:left="1848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consegna di documentazione relativa ad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atti emanati dall’Agenzia delle Entrate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;</w:t>
      </w:r>
    </w:p>
    <w:p w14:paraId="5FAC9CA4" w14:textId="77777777" w:rsidR="007158D3" w:rsidRDefault="007158D3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5E840C4A" w14:textId="77777777" w:rsidR="007158D3" w:rsidRDefault="007158D3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2B91C27A" w14:textId="77777777" w:rsidR="007158D3" w:rsidRDefault="007158D3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21568262" w14:textId="77777777" w:rsidR="007158D3" w:rsidRDefault="007158D3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0FFC3E86" w14:textId="77777777" w:rsidR="007158D3" w:rsidRPr="00544D45" w:rsidRDefault="007158D3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4F361FE8" w14:textId="77777777" w:rsidR="00544D45" w:rsidRPr="00544D45" w:rsidRDefault="00544D45" w:rsidP="007158D3">
      <w:pPr>
        <w:numPr>
          <w:ilvl w:val="1"/>
          <w:numId w:val="1"/>
        </w:numPr>
        <w:shd w:val="clear" w:color="auto" w:fill="FFFFFF"/>
        <w:spacing w:after="0" w:line="240" w:lineRule="auto"/>
        <w:ind w:left="1848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richiesta di informazioni sullo stato di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rimborsi e di istanze presentate e di qualsiasi altra pratica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;</w:t>
      </w:r>
    </w:p>
    <w:p w14:paraId="6A72F99F" w14:textId="77777777" w:rsidR="00544D45" w:rsidRPr="00544D45" w:rsidRDefault="00544D45" w:rsidP="007158D3">
      <w:pPr>
        <w:numPr>
          <w:ilvl w:val="1"/>
          <w:numId w:val="1"/>
        </w:numPr>
        <w:shd w:val="clear" w:color="auto" w:fill="FFFFFF"/>
        <w:spacing w:after="0" w:line="240" w:lineRule="auto"/>
        <w:ind w:left="1848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presentazione e trattazione di istanze di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correzione di versamenti non lavorabili tramite CIVIS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;</w:t>
      </w:r>
    </w:p>
    <w:p w14:paraId="57DF29A5" w14:textId="77777777" w:rsidR="00544D45" w:rsidRDefault="00544D45" w:rsidP="007158D3">
      <w:pPr>
        <w:numPr>
          <w:ilvl w:val="0"/>
          <w:numId w:val="1"/>
        </w:numPr>
        <w:shd w:val="clear" w:color="auto" w:fill="FFFFFF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accreditare i propri collaboratori o dipendenti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così da includerli nelle procure, se autorizzati dai propri clienti.</w:t>
      </w:r>
    </w:p>
    <w:p w14:paraId="5DBA57FA" w14:textId="77777777" w:rsidR="007158D3" w:rsidRDefault="007158D3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274D7376" w14:textId="77777777" w:rsidR="00544D45" w:rsidRPr="00544D45" w:rsidRDefault="00544D45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Grazie al Servizio 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web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“Procure”, con un’unica delega da conservare presso lo studio, è possibile dunque presentarsi agli sportelli con il solo documento di identità evitando di dover consegnare agli Uffici la delega cartacea del cliente e la 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sub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delega a propri collaboratori o dipendenti.</w:t>
      </w:r>
    </w:p>
    <w:p w14:paraId="61534B82" w14:textId="77777777" w:rsidR="00544D45" w:rsidRPr="00544D45" w:rsidRDefault="00544D45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L’accesso al Servizio è riservato ai Commercialisti regolarmente iscritti all’Albo, con le seguenti tipologie di credenziali Entratel:</w:t>
      </w:r>
    </w:p>
    <w:p w14:paraId="5384ABAB" w14:textId="77777777" w:rsidR="00544D45" w:rsidRPr="00544D45" w:rsidRDefault="00544D45" w:rsidP="007158D3">
      <w:pPr>
        <w:numPr>
          <w:ilvl w:val="0"/>
          <w:numId w:val="2"/>
        </w:numPr>
        <w:shd w:val="clear" w:color="auto" w:fill="FFFFFF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A10 – Iscritto nell’albo dei dottori commercialisti e degli esperti contabili sez. A</w:t>
      </w:r>
    </w:p>
    <w:p w14:paraId="23BA991D" w14:textId="77777777" w:rsidR="00544D45" w:rsidRPr="00544D45" w:rsidRDefault="00544D45" w:rsidP="007158D3">
      <w:pPr>
        <w:numPr>
          <w:ilvl w:val="0"/>
          <w:numId w:val="2"/>
        </w:numPr>
        <w:shd w:val="clear" w:color="auto" w:fill="FFFFFF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A20 – Iscritto nell’albo dei ragionieri e dei periti commerciali</w:t>
      </w:r>
    </w:p>
    <w:p w14:paraId="4890A6C8" w14:textId="77777777" w:rsidR="00544D45" w:rsidRPr="00544D45" w:rsidRDefault="00544D45" w:rsidP="007158D3">
      <w:pPr>
        <w:numPr>
          <w:ilvl w:val="0"/>
          <w:numId w:val="2"/>
        </w:numPr>
        <w:shd w:val="clear" w:color="auto" w:fill="FFFFFF"/>
        <w:spacing w:after="0" w:line="240" w:lineRule="auto"/>
        <w:ind w:left="924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A25 – Iscritto nell’albo dei dottori commercialisti e degli esperti contabili sez. B.</w:t>
      </w:r>
    </w:p>
    <w:p w14:paraId="14D56FBF" w14:textId="77777777" w:rsidR="007158D3" w:rsidRDefault="007158D3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705B17CD" w14:textId="56C9BFF1" w:rsidR="00544D45" w:rsidRPr="00544D45" w:rsidRDefault="00544D45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Gli iscritti sopra citati possono accedere al Servizio autenticandosi all’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area riservata del sito dell’Agenzia delle Entrate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tramite le proprie credenziali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 Entratel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o in alternativa utilizzando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SPID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o la 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CNS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</w:t>
      </w:r>
    </w:p>
    <w:p w14:paraId="71AD08CF" w14:textId="77777777" w:rsidR="00544D45" w:rsidRPr="00544D45" w:rsidRDefault="00544D45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Una volta autenticato, l’iscritto, tra le voci dei servizi per i professionisti del sito dell’Agenzia, troverà il servizio “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Procure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” nella sezione “Deleghe</w:t>
      </w:r>
      <w:r w:rsidRPr="00544D45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sym w:font="Symbol" w:char="F0E0"/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Gestione deleghe per Intermediari” oppure potrà utilizzare la funzione di ricerca (v. </w:t>
      </w:r>
      <w:proofErr w:type="spellStart"/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all</w:t>
      </w:r>
      <w:proofErr w:type="spellEnd"/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 1). Si suggerisce di salvarlo tra i servizi preferiti per averlo sempre a disposizione.</w:t>
      </w:r>
    </w:p>
    <w:p w14:paraId="1637D86D" w14:textId="77777777" w:rsidR="00544D45" w:rsidRPr="00544D45" w:rsidRDefault="00544D45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Le informazioni acquisite mediante l’applicazione </w:t>
      </w:r>
      <w:r w:rsidRPr="00544D45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web</w:t>
      </w:r>
      <w:r w:rsidRPr="00544D45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sono rese disponibili anche agli operatori degli uffici territoriali dell’Agenzia delle Entrate ai fini dell’autorizzazione del professionista a svolgere attività di assistenza per i contribuenti che hanno conferito la procura.</w:t>
      </w:r>
    </w:p>
    <w:p w14:paraId="2A411D7F" w14:textId="77767E5F" w:rsidR="00165F48" w:rsidRPr="007158D3" w:rsidRDefault="00165F48" w:rsidP="007158D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</w:p>
    <w:sectPr w:rsidR="00165F48" w:rsidRPr="007158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2F4A" w14:textId="77777777" w:rsidR="00F4387B" w:rsidRDefault="00F4387B" w:rsidP="00165F48">
      <w:pPr>
        <w:spacing w:after="0" w:line="240" w:lineRule="auto"/>
      </w:pPr>
      <w:r>
        <w:separator/>
      </w:r>
    </w:p>
  </w:endnote>
  <w:endnote w:type="continuationSeparator" w:id="0">
    <w:p w14:paraId="51000456" w14:textId="77777777" w:rsidR="00F4387B" w:rsidRDefault="00F4387B" w:rsidP="0016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D73A" w14:textId="77777777" w:rsidR="00F4387B" w:rsidRDefault="00F4387B" w:rsidP="00165F48">
      <w:pPr>
        <w:spacing w:after="0" w:line="240" w:lineRule="auto"/>
      </w:pPr>
      <w:r>
        <w:separator/>
      </w:r>
    </w:p>
  </w:footnote>
  <w:footnote w:type="continuationSeparator" w:id="0">
    <w:p w14:paraId="2DA4A2EA" w14:textId="77777777" w:rsidR="00F4387B" w:rsidRDefault="00F4387B" w:rsidP="0016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B0B5" w14:textId="1B8EB62D" w:rsidR="00B243F1" w:rsidRDefault="00B243F1" w:rsidP="00B243F1">
    <w:pPr>
      <w:pStyle w:val="Intestazione"/>
      <w:jc w:val="center"/>
    </w:pPr>
    <w:r>
      <w:rPr>
        <w:noProof/>
      </w:rPr>
      <w:drawing>
        <wp:inline distT="0" distB="0" distL="0" distR="0" wp14:anchorId="4CEFA5ED" wp14:editId="20BD5D2D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993"/>
    <w:multiLevelType w:val="multilevel"/>
    <w:tmpl w:val="E454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387EC2"/>
    <w:multiLevelType w:val="multilevel"/>
    <w:tmpl w:val="6AC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8674693">
    <w:abstractNumId w:val="1"/>
  </w:num>
  <w:num w:numId="2" w16cid:durableId="209381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48"/>
    <w:rsid w:val="00027AA9"/>
    <w:rsid w:val="00130791"/>
    <w:rsid w:val="00165F48"/>
    <w:rsid w:val="00183150"/>
    <w:rsid w:val="004B2D50"/>
    <w:rsid w:val="004B5E5A"/>
    <w:rsid w:val="00544D45"/>
    <w:rsid w:val="00667217"/>
    <w:rsid w:val="006A5E83"/>
    <w:rsid w:val="007158D3"/>
    <w:rsid w:val="00764B73"/>
    <w:rsid w:val="0089790B"/>
    <w:rsid w:val="008B2F8F"/>
    <w:rsid w:val="008E566B"/>
    <w:rsid w:val="00B243F1"/>
    <w:rsid w:val="00B253A2"/>
    <w:rsid w:val="00B814AE"/>
    <w:rsid w:val="00D85426"/>
    <w:rsid w:val="00E317C1"/>
    <w:rsid w:val="00E616DB"/>
    <w:rsid w:val="00E91059"/>
    <w:rsid w:val="00F242F4"/>
    <w:rsid w:val="00F400F6"/>
    <w:rsid w:val="00F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A61D"/>
  <w15:chartTrackingRefBased/>
  <w15:docId w15:val="{9FDFFF4F-E482-4AED-BF56-5D1A8F9B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B2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F4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F48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65F48"/>
    <w:rPr>
      <w:color w:val="0563C1" w:themeColor="hyperlink"/>
      <w:u w:val="single"/>
    </w:rPr>
  </w:style>
  <w:style w:type="character" w:styleId="Rimandonotaapidipagina">
    <w:name w:val="footnote reference"/>
    <w:aliases w:val="Rimando nota a piè di pagina 2"/>
    <w:uiPriority w:val="99"/>
    <w:unhideWhenUsed/>
    <w:rsid w:val="00165F4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AA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4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3F1"/>
  </w:style>
  <w:style w:type="paragraph" w:styleId="Pidipagina">
    <w:name w:val="footer"/>
    <w:basedOn w:val="Normale"/>
    <w:link w:val="PidipaginaCarattere"/>
    <w:uiPriority w:val="99"/>
    <w:unhideWhenUsed/>
    <w:rsid w:val="00B24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3F1"/>
  </w:style>
  <w:style w:type="character" w:customStyle="1" w:styleId="Titolo1Carattere">
    <w:name w:val="Titolo 1 Carattere"/>
    <w:basedOn w:val="Carpredefinitoparagrafo"/>
    <w:link w:val="Titolo1"/>
    <w:uiPriority w:val="9"/>
    <w:rsid w:val="008B2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825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00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2023-10-06T10:34:00Z</dcterms:created>
  <dcterms:modified xsi:type="dcterms:W3CDTF">2023-10-06T10:38:00Z</dcterms:modified>
</cp:coreProperties>
</file>